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887D2" w14:textId="77777777" w:rsidR="00E57573" w:rsidRPr="0059736B" w:rsidRDefault="00E57573" w:rsidP="00E57573">
      <w:pPr>
        <w:tabs>
          <w:tab w:val="num" w:pos="0"/>
          <w:tab w:val="left" w:pos="993"/>
        </w:tabs>
        <w:jc w:val="center"/>
        <w:rPr>
          <w:rFonts w:eastAsia="Calibri"/>
          <w:b/>
          <w:szCs w:val="24"/>
        </w:rPr>
      </w:pPr>
      <w:r w:rsidRPr="0059736B">
        <w:rPr>
          <w:rFonts w:eastAsia="Calibri"/>
          <w:b/>
          <w:szCs w:val="24"/>
        </w:rPr>
        <w:t>POREIKIO ATLIKTI POVEIKIO DUOMENŲ APSAUGAI VERTINIMĄ NUSTATYMO KLAUSIMYNAS</w:t>
      </w:r>
    </w:p>
    <w:p w14:paraId="3C1F2C47" w14:textId="20883348" w:rsidR="00E57573" w:rsidRDefault="00E57573" w:rsidP="00E57573">
      <w:pPr>
        <w:tabs>
          <w:tab w:val="num" w:pos="0"/>
          <w:tab w:val="left" w:pos="993"/>
        </w:tabs>
        <w:jc w:val="center"/>
        <w:rPr>
          <w:rFonts w:eastAsia="Calibri"/>
          <w:szCs w:val="24"/>
        </w:rPr>
      </w:pPr>
    </w:p>
    <w:p w14:paraId="2424095B" w14:textId="13E0DC01" w:rsidR="007A37DF" w:rsidRPr="007A37DF" w:rsidRDefault="007A37DF" w:rsidP="00E57573">
      <w:pPr>
        <w:tabs>
          <w:tab w:val="num" w:pos="0"/>
          <w:tab w:val="left" w:pos="993"/>
        </w:tabs>
        <w:jc w:val="center"/>
        <w:rPr>
          <w:rFonts w:eastAsia="Calibri"/>
          <w:szCs w:val="24"/>
        </w:rPr>
      </w:pPr>
      <w:r w:rsidRPr="007A37DF">
        <w:rPr>
          <w:rFonts w:eastAsia="Calibri"/>
          <w:szCs w:val="24"/>
        </w:rPr>
        <w:t xml:space="preserve">Tyrimo pavadinimas </w:t>
      </w:r>
    </w:p>
    <w:p w14:paraId="0FB9D92F" w14:textId="77777777" w:rsidR="007A37DF" w:rsidRPr="0059736B" w:rsidRDefault="007A37DF" w:rsidP="00E57573">
      <w:pPr>
        <w:tabs>
          <w:tab w:val="num" w:pos="0"/>
          <w:tab w:val="left" w:pos="993"/>
        </w:tabs>
        <w:jc w:val="center"/>
        <w:rPr>
          <w:rFonts w:eastAsia="Calibri"/>
          <w:szCs w:val="24"/>
        </w:rPr>
      </w:pPr>
    </w:p>
    <w:tbl>
      <w:tblPr>
        <w:tblW w:w="11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172"/>
        <w:gridCol w:w="697"/>
        <w:gridCol w:w="724"/>
      </w:tblGrid>
      <w:tr w:rsidR="0087372E" w:rsidRPr="0059736B" w14:paraId="3F63190E" w14:textId="4EB3CC4E" w:rsidTr="007A37DF">
        <w:trPr>
          <w:trHeight w:val="1097"/>
          <w:jc w:val="center"/>
        </w:trPr>
        <w:tc>
          <w:tcPr>
            <w:tcW w:w="570" w:type="dxa"/>
          </w:tcPr>
          <w:p w14:paraId="2C240B8F" w14:textId="77777777" w:rsidR="0087372E" w:rsidRDefault="0087372E" w:rsidP="00F3616F">
            <w:pPr>
              <w:tabs>
                <w:tab w:val="num" w:pos="0"/>
                <w:tab w:val="left" w:pos="993"/>
              </w:tabs>
              <w:jc w:val="both"/>
              <w:rPr>
                <w:rFonts w:eastAsia="Calibri"/>
                <w:b/>
                <w:szCs w:val="24"/>
              </w:rPr>
            </w:pPr>
          </w:p>
        </w:tc>
        <w:tc>
          <w:tcPr>
            <w:tcW w:w="10593" w:type="dxa"/>
            <w:gridSpan w:val="3"/>
            <w:shd w:val="clear" w:color="auto" w:fill="auto"/>
          </w:tcPr>
          <w:p w14:paraId="0C0FF61D" w14:textId="34E0B8F3" w:rsidR="0087372E" w:rsidRPr="0059736B" w:rsidRDefault="0087372E" w:rsidP="00F3616F">
            <w:pPr>
              <w:tabs>
                <w:tab w:val="num" w:pos="0"/>
                <w:tab w:val="left" w:pos="993"/>
              </w:tabs>
              <w:jc w:val="both"/>
              <w:rPr>
                <w:rFonts w:eastAsia="Calibri"/>
                <w:b/>
                <w:szCs w:val="24"/>
              </w:rPr>
            </w:pPr>
            <w:r>
              <w:rPr>
                <w:rFonts w:eastAsia="Calibri"/>
                <w:b/>
                <w:szCs w:val="24"/>
              </w:rPr>
              <w:t>Jei ketinate tvarkyti asmens duomenis</w:t>
            </w:r>
            <w:r>
              <w:rPr>
                <w:rStyle w:val="EndnoteReference"/>
                <w:rFonts w:eastAsia="Calibri"/>
                <w:b/>
                <w:szCs w:val="24"/>
              </w:rPr>
              <w:endnoteReference w:id="1"/>
            </w:r>
            <w:r>
              <w:rPr>
                <w:rFonts w:eastAsia="Calibri"/>
                <w:b/>
                <w:szCs w:val="24"/>
              </w:rPr>
              <w:t xml:space="preserve"> ir atsakėte teigiamai į vieną ar kelis šio klausimyno klausimus, prašome kreiptis į padalinio administraciją dėl konsultacijos atlikti poveikio duomenų apsaugai vertinimą</w:t>
            </w:r>
            <w:r>
              <w:rPr>
                <w:rStyle w:val="EndnoteReference"/>
                <w:rFonts w:eastAsia="Calibri"/>
                <w:b/>
                <w:szCs w:val="24"/>
              </w:rPr>
              <w:endnoteReference w:id="2"/>
            </w:r>
            <w:r>
              <w:rPr>
                <w:rFonts w:eastAsia="Calibri"/>
                <w:b/>
                <w:szCs w:val="24"/>
              </w:rPr>
              <w:t>.</w:t>
            </w:r>
          </w:p>
          <w:p w14:paraId="62B1A26D" w14:textId="77777777" w:rsidR="0087372E" w:rsidRDefault="0087372E" w:rsidP="00F3616F">
            <w:pPr>
              <w:tabs>
                <w:tab w:val="num" w:pos="0"/>
                <w:tab w:val="left" w:pos="993"/>
              </w:tabs>
              <w:jc w:val="both"/>
              <w:rPr>
                <w:rFonts w:eastAsia="Calibri"/>
                <w:b/>
                <w:szCs w:val="24"/>
              </w:rPr>
            </w:pPr>
          </w:p>
        </w:tc>
      </w:tr>
      <w:tr w:rsidR="0087372E" w:rsidRPr="0059736B" w14:paraId="1F1E6347" w14:textId="7BA7F856" w:rsidTr="007A37DF">
        <w:trPr>
          <w:trHeight w:val="270"/>
          <w:jc w:val="center"/>
        </w:trPr>
        <w:tc>
          <w:tcPr>
            <w:tcW w:w="570" w:type="dxa"/>
            <w:shd w:val="clear" w:color="auto" w:fill="auto"/>
          </w:tcPr>
          <w:p w14:paraId="57C501A1" w14:textId="77777777" w:rsidR="0087372E" w:rsidRPr="0059736B" w:rsidRDefault="0087372E" w:rsidP="0035207A">
            <w:pPr>
              <w:tabs>
                <w:tab w:val="num" w:pos="0"/>
                <w:tab w:val="left" w:pos="993"/>
              </w:tabs>
              <w:jc w:val="center"/>
              <w:rPr>
                <w:rFonts w:eastAsia="Calibri"/>
                <w:b/>
                <w:szCs w:val="24"/>
              </w:rPr>
            </w:pPr>
            <w:r w:rsidRPr="0059736B">
              <w:rPr>
                <w:rFonts w:eastAsia="Calibri"/>
                <w:b/>
                <w:szCs w:val="24"/>
              </w:rPr>
              <w:t>Eil. Nr.</w:t>
            </w:r>
          </w:p>
        </w:tc>
        <w:tc>
          <w:tcPr>
            <w:tcW w:w="9172" w:type="dxa"/>
            <w:shd w:val="clear" w:color="auto" w:fill="auto"/>
            <w:vAlign w:val="center"/>
          </w:tcPr>
          <w:p w14:paraId="3BDC6BA2" w14:textId="34C46712" w:rsidR="0087372E" w:rsidRPr="0059736B" w:rsidRDefault="0087372E" w:rsidP="0035207A">
            <w:pPr>
              <w:tabs>
                <w:tab w:val="num" w:pos="0"/>
                <w:tab w:val="left" w:pos="993"/>
              </w:tabs>
              <w:jc w:val="center"/>
              <w:rPr>
                <w:rFonts w:eastAsia="Calibri"/>
                <w:b/>
                <w:szCs w:val="24"/>
              </w:rPr>
            </w:pPr>
            <w:r>
              <w:rPr>
                <w:rFonts w:eastAsia="Calibri"/>
                <w:b/>
                <w:szCs w:val="24"/>
              </w:rPr>
              <w:t>Asmens duomenų tvarkymo atvejai:</w:t>
            </w:r>
          </w:p>
        </w:tc>
        <w:tc>
          <w:tcPr>
            <w:tcW w:w="697" w:type="dxa"/>
          </w:tcPr>
          <w:p w14:paraId="04895C99" w14:textId="75CDF712" w:rsidR="0087372E" w:rsidRDefault="0087372E" w:rsidP="0035207A">
            <w:pPr>
              <w:tabs>
                <w:tab w:val="num" w:pos="0"/>
                <w:tab w:val="left" w:pos="993"/>
              </w:tabs>
              <w:jc w:val="center"/>
              <w:rPr>
                <w:rFonts w:eastAsia="Calibri"/>
                <w:b/>
                <w:szCs w:val="24"/>
              </w:rPr>
            </w:pPr>
            <w:r>
              <w:rPr>
                <w:rFonts w:eastAsia="Calibri"/>
                <w:b/>
                <w:szCs w:val="24"/>
              </w:rPr>
              <w:t>Taip</w:t>
            </w:r>
          </w:p>
        </w:tc>
        <w:tc>
          <w:tcPr>
            <w:tcW w:w="724" w:type="dxa"/>
          </w:tcPr>
          <w:p w14:paraId="75EF03FC" w14:textId="798C5BC1" w:rsidR="0087372E" w:rsidRDefault="0087372E" w:rsidP="0035207A">
            <w:pPr>
              <w:tabs>
                <w:tab w:val="num" w:pos="0"/>
                <w:tab w:val="left" w:pos="993"/>
              </w:tabs>
              <w:jc w:val="center"/>
              <w:rPr>
                <w:rFonts w:eastAsia="Calibri"/>
                <w:b/>
                <w:szCs w:val="24"/>
              </w:rPr>
            </w:pPr>
            <w:r>
              <w:rPr>
                <w:rFonts w:eastAsia="Calibri"/>
                <w:b/>
                <w:szCs w:val="24"/>
              </w:rPr>
              <w:t>Ne</w:t>
            </w:r>
          </w:p>
        </w:tc>
      </w:tr>
      <w:tr w:rsidR="0087372E" w:rsidRPr="0059736B" w14:paraId="674ACE99" w14:textId="558435C7" w:rsidTr="007A37DF">
        <w:trPr>
          <w:trHeight w:val="270"/>
          <w:jc w:val="center"/>
        </w:trPr>
        <w:tc>
          <w:tcPr>
            <w:tcW w:w="570" w:type="dxa"/>
            <w:shd w:val="clear" w:color="auto" w:fill="auto"/>
          </w:tcPr>
          <w:p w14:paraId="3A4E4379" w14:textId="150A9B16" w:rsidR="0087372E" w:rsidRPr="00FD088A" w:rsidRDefault="0087372E" w:rsidP="00E57573">
            <w:pPr>
              <w:pStyle w:val="ListParagraph"/>
              <w:numPr>
                <w:ilvl w:val="0"/>
                <w:numId w:val="2"/>
              </w:numPr>
              <w:tabs>
                <w:tab w:val="num" w:pos="0"/>
                <w:tab w:val="left" w:pos="993"/>
              </w:tabs>
              <w:rPr>
                <w:rFonts w:eastAsia="Calibri"/>
                <w:b/>
                <w:szCs w:val="24"/>
                <w:lang w:val="en-US"/>
              </w:rPr>
            </w:pPr>
          </w:p>
        </w:tc>
        <w:tc>
          <w:tcPr>
            <w:tcW w:w="9172" w:type="dxa"/>
            <w:shd w:val="clear" w:color="auto" w:fill="auto"/>
          </w:tcPr>
          <w:p w14:paraId="677F42E9" w14:textId="5E723AC3" w:rsidR="0087372E" w:rsidRPr="0059736B" w:rsidRDefault="0087372E" w:rsidP="00E57573">
            <w:pPr>
              <w:tabs>
                <w:tab w:val="num" w:pos="0"/>
                <w:tab w:val="left" w:pos="993"/>
              </w:tabs>
              <w:rPr>
                <w:rFonts w:eastAsia="Calibri"/>
                <w:b/>
                <w:szCs w:val="24"/>
              </w:rPr>
            </w:pPr>
            <w:r w:rsidRPr="00BB35CB">
              <w:t>be subjekt</w:t>
            </w:r>
            <w:r>
              <w:t>ų</w:t>
            </w:r>
            <w:r w:rsidRPr="00BB35CB">
              <w:t xml:space="preserve"> sutikimo</w:t>
            </w:r>
          </w:p>
        </w:tc>
        <w:tc>
          <w:tcPr>
            <w:tcW w:w="697" w:type="dxa"/>
          </w:tcPr>
          <w:p w14:paraId="5B0568A4" w14:textId="77777777" w:rsidR="0087372E" w:rsidRPr="00BB35CB" w:rsidRDefault="0087372E" w:rsidP="00E57573">
            <w:pPr>
              <w:tabs>
                <w:tab w:val="num" w:pos="0"/>
                <w:tab w:val="left" w:pos="993"/>
              </w:tabs>
            </w:pPr>
          </w:p>
        </w:tc>
        <w:tc>
          <w:tcPr>
            <w:tcW w:w="724" w:type="dxa"/>
          </w:tcPr>
          <w:p w14:paraId="4C0FF6CC" w14:textId="24B1FB60" w:rsidR="0087372E" w:rsidRPr="00BB35CB" w:rsidRDefault="0087372E" w:rsidP="00E57573">
            <w:pPr>
              <w:tabs>
                <w:tab w:val="num" w:pos="0"/>
                <w:tab w:val="left" w:pos="993"/>
              </w:tabs>
            </w:pPr>
          </w:p>
        </w:tc>
      </w:tr>
      <w:tr w:rsidR="0087372E" w:rsidRPr="0059736B" w14:paraId="27E9AD6D" w14:textId="7839D76B" w:rsidTr="007A37DF">
        <w:trPr>
          <w:trHeight w:val="270"/>
          <w:jc w:val="center"/>
        </w:trPr>
        <w:tc>
          <w:tcPr>
            <w:tcW w:w="570" w:type="dxa"/>
            <w:shd w:val="clear" w:color="auto" w:fill="auto"/>
          </w:tcPr>
          <w:p w14:paraId="1C190287"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0682B410" w14:textId="1D282FE7" w:rsidR="0087372E" w:rsidRPr="0059736B" w:rsidRDefault="0087372E" w:rsidP="00E57573">
            <w:pPr>
              <w:tabs>
                <w:tab w:val="num" w:pos="0"/>
                <w:tab w:val="left" w:pos="993"/>
              </w:tabs>
              <w:rPr>
                <w:rFonts w:eastAsia="Calibri"/>
                <w:b/>
                <w:szCs w:val="24"/>
              </w:rPr>
            </w:pPr>
            <w:r>
              <w:t>pažeidžiamų</w:t>
            </w:r>
            <w:r>
              <w:rPr>
                <w:rStyle w:val="EndnoteReference"/>
              </w:rPr>
              <w:endnoteReference w:id="3"/>
            </w:r>
            <w:r>
              <w:t xml:space="preserve"> grupių asmenų </w:t>
            </w:r>
            <w:r w:rsidRPr="00BB35CB">
              <w:t>duomen</w:t>
            </w:r>
            <w:r>
              <w:t>ys</w:t>
            </w:r>
          </w:p>
        </w:tc>
        <w:tc>
          <w:tcPr>
            <w:tcW w:w="697" w:type="dxa"/>
          </w:tcPr>
          <w:p w14:paraId="14DE450B" w14:textId="77777777" w:rsidR="0087372E" w:rsidRDefault="0087372E" w:rsidP="00E57573">
            <w:pPr>
              <w:tabs>
                <w:tab w:val="num" w:pos="0"/>
                <w:tab w:val="left" w:pos="993"/>
              </w:tabs>
            </w:pPr>
          </w:p>
        </w:tc>
        <w:tc>
          <w:tcPr>
            <w:tcW w:w="724" w:type="dxa"/>
          </w:tcPr>
          <w:p w14:paraId="5E0A1C21" w14:textId="798C4274" w:rsidR="0087372E" w:rsidRDefault="0087372E" w:rsidP="00E57573">
            <w:pPr>
              <w:tabs>
                <w:tab w:val="num" w:pos="0"/>
                <w:tab w:val="left" w:pos="993"/>
              </w:tabs>
            </w:pPr>
          </w:p>
        </w:tc>
      </w:tr>
      <w:tr w:rsidR="0087372E" w:rsidRPr="0059736B" w14:paraId="09DA4B3A" w14:textId="48E4FC5E" w:rsidTr="007A37DF">
        <w:trPr>
          <w:trHeight w:val="285"/>
          <w:jc w:val="center"/>
        </w:trPr>
        <w:tc>
          <w:tcPr>
            <w:tcW w:w="570" w:type="dxa"/>
            <w:shd w:val="clear" w:color="auto" w:fill="auto"/>
          </w:tcPr>
          <w:p w14:paraId="1D8634F0"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40A996E8" w14:textId="4CB4C2FB" w:rsidR="0087372E" w:rsidRPr="0059736B" w:rsidRDefault="0087372E" w:rsidP="00E57573">
            <w:pPr>
              <w:tabs>
                <w:tab w:val="num" w:pos="0"/>
                <w:tab w:val="left" w:pos="993"/>
              </w:tabs>
              <w:rPr>
                <w:rFonts w:eastAsia="Calibri"/>
                <w:b/>
                <w:szCs w:val="24"/>
              </w:rPr>
            </w:pPr>
            <w:r w:rsidRPr="00BB35CB">
              <w:t>asmens kod</w:t>
            </w:r>
            <w:r>
              <w:t>ai</w:t>
            </w:r>
          </w:p>
        </w:tc>
        <w:tc>
          <w:tcPr>
            <w:tcW w:w="697" w:type="dxa"/>
          </w:tcPr>
          <w:p w14:paraId="08B561FA" w14:textId="77777777" w:rsidR="0087372E" w:rsidRPr="00BB35CB" w:rsidRDefault="0087372E" w:rsidP="00E57573">
            <w:pPr>
              <w:tabs>
                <w:tab w:val="num" w:pos="0"/>
                <w:tab w:val="left" w:pos="993"/>
              </w:tabs>
            </w:pPr>
          </w:p>
        </w:tc>
        <w:tc>
          <w:tcPr>
            <w:tcW w:w="724" w:type="dxa"/>
          </w:tcPr>
          <w:p w14:paraId="13B28A4D" w14:textId="2E0B75DD" w:rsidR="0087372E" w:rsidRPr="00BB35CB" w:rsidRDefault="0087372E" w:rsidP="00E57573">
            <w:pPr>
              <w:tabs>
                <w:tab w:val="num" w:pos="0"/>
                <w:tab w:val="left" w:pos="993"/>
              </w:tabs>
            </w:pPr>
          </w:p>
        </w:tc>
      </w:tr>
      <w:tr w:rsidR="0087372E" w:rsidRPr="0059736B" w14:paraId="5DADC294" w14:textId="2CFE2645" w:rsidTr="007A37DF">
        <w:trPr>
          <w:trHeight w:val="270"/>
          <w:jc w:val="center"/>
        </w:trPr>
        <w:tc>
          <w:tcPr>
            <w:tcW w:w="570" w:type="dxa"/>
            <w:shd w:val="clear" w:color="auto" w:fill="auto"/>
          </w:tcPr>
          <w:p w14:paraId="5D5639B5"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4FF0B9AF" w14:textId="0FC3D54D" w:rsidR="0087372E" w:rsidRPr="0059736B" w:rsidRDefault="0087372E" w:rsidP="00E57573">
            <w:pPr>
              <w:tabs>
                <w:tab w:val="num" w:pos="0"/>
                <w:tab w:val="left" w:pos="993"/>
              </w:tabs>
              <w:rPr>
                <w:rFonts w:eastAsia="Calibri"/>
                <w:b/>
                <w:szCs w:val="24"/>
              </w:rPr>
            </w:pPr>
            <w:r>
              <w:t>didesnės, nei 1% Lietuvos gyventojų populiacijos duomenys</w:t>
            </w:r>
          </w:p>
        </w:tc>
        <w:tc>
          <w:tcPr>
            <w:tcW w:w="697" w:type="dxa"/>
          </w:tcPr>
          <w:p w14:paraId="0A9F76CA" w14:textId="77777777" w:rsidR="0087372E" w:rsidRDefault="0087372E" w:rsidP="00E57573">
            <w:pPr>
              <w:tabs>
                <w:tab w:val="num" w:pos="0"/>
                <w:tab w:val="left" w:pos="993"/>
              </w:tabs>
            </w:pPr>
          </w:p>
        </w:tc>
        <w:tc>
          <w:tcPr>
            <w:tcW w:w="724" w:type="dxa"/>
          </w:tcPr>
          <w:p w14:paraId="2D0F02BA" w14:textId="317C5A42" w:rsidR="0087372E" w:rsidRDefault="0087372E" w:rsidP="00E57573">
            <w:pPr>
              <w:tabs>
                <w:tab w:val="num" w:pos="0"/>
                <w:tab w:val="left" w:pos="993"/>
              </w:tabs>
            </w:pPr>
          </w:p>
        </w:tc>
      </w:tr>
      <w:tr w:rsidR="0087372E" w:rsidRPr="0059736B" w14:paraId="120B5750" w14:textId="1009707A" w:rsidTr="007A37DF">
        <w:trPr>
          <w:trHeight w:val="270"/>
          <w:jc w:val="center"/>
        </w:trPr>
        <w:tc>
          <w:tcPr>
            <w:tcW w:w="570" w:type="dxa"/>
            <w:shd w:val="clear" w:color="auto" w:fill="auto"/>
          </w:tcPr>
          <w:p w14:paraId="219E63A3"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5461343D" w14:textId="62C2385E" w:rsidR="0087372E" w:rsidRPr="0059736B" w:rsidRDefault="0087372E" w:rsidP="00E57573">
            <w:pPr>
              <w:tabs>
                <w:tab w:val="num" w:pos="0"/>
                <w:tab w:val="left" w:pos="993"/>
              </w:tabs>
              <w:rPr>
                <w:rFonts w:eastAsia="Calibri"/>
                <w:b/>
                <w:szCs w:val="24"/>
              </w:rPr>
            </w:pPr>
            <w:r w:rsidRPr="00BB35CB">
              <w:t>biometrini</w:t>
            </w:r>
            <w:r>
              <w:t>ai arba genetiniai duomenys</w:t>
            </w:r>
          </w:p>
        </w:tc>
        <w:tc>
          <w:tcPr>
            <w:tcW w:w="697" w:type="dxa"/>
          </w:tcPr>
          <w:p w14:paraId="74141CCD" w14:textId="77777777" w:rsidR="0087372E" w:rsidRPr="00BB35CB" w:rsidRDefault="0087372E" w:rsidP="00E57573">
            <w:pPr>
              <w:tabs>
                <w:tab w:val="num" w:pos="0"/>
                <w:tab w:val="left" w:pos="993"/>
              </w:tabs>
            </w:pPr>
          </w:p>
        </w:tc>
        <w:tc>
          <w:tcPr>
            <w:tcW w:w="724" w:type="dxa"/>
          </w:tcPr>
          <w:p w14:paraId="552CA9FF" w14:textId="229CCA93" w:rsidR="0087372E" w:rsidRPr="00BB35CB" w:rsidRDefault="0087372E" w:rsidP="00E57573">
            <w:pPr>
              <w:tabs>
                <w:tab w:val="num" w:pos="0"/>
                <w:tab w:val="left" w:pos="993"/>
              </w:tabs>
            </w:pPr>
          </w:p>
        </w:tc>
      </w:tr>
      <w:tr w:rsidR="0087372E" w:rsidRPr="0059736B" w14:paraId="6F846F23" w14:textId="404071B8" w:rsidTr="007A37DF">
        <w:trPr>
          <w:trHeight w:val="270"/>
          <w:jc w:val="center"/>
        </w:trPr>
        <w:tc>
          <w:tcPr>
            <w:tcW w:w="570" w:type="dxa"/>
            <w:shd w:val="clear" w:color="auto" w:fill="auto"/>
          </w:tcPr>
          <w:p w14:paraId="0EEA3335"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49BB43B5" w14:textId="6C73A97D" w:rsidR="0087372E" w:rsidRPr="0059736B" w:rsidRDefault="0087372E" w:rsidP="00E57573">
            <w:pPr>
              <w:tabs>
                <w:tab w:val="num" w:pos="0"/>
                <w:tab w:val="left" w:pos="993"/>
              </w:tabs>
              <w:rPr>
                <w:rFonts w:eastAsia="Calibri"/>
                <w:b/>
                <w:szCs w:val="24"/>
              </w:rPr>
            </w:pPr>
            <w:r w:rsidRPr="00BB35CB">
              <w:t>vaizdo stebėjim</w:t>
            </w:r>
            <w:r>
              <w:t>o</w:t>
            </w:r>
            <w:r w:rsidRPr="00BB35CB">
              <w:t xml:space="preserve"> </w:t>
            </w:r>
            <w:r>
              <w:t xml:space="preserve">įrašai </w:t>
            </w:r>
            <w:r w:rsidRPr="00BB35CB">
              <w:t xml:space="preserve">patalpose ar teritorijose, kurios nėra valdomos </w:t>
            </w:r>
            <w:r>
              <w:t>Universiteto</w:t>
            </w:r>
          </w:p>
        </w:tc>
        <w:tc>
          <w:tcPr>
            <w:tcW w:w="697" w:type="dxa"/>
          </w:tcPr>
          <w:p w14:paraId="5589ECB8" w14:textId="77777777" w:rsidR="0087372E" w:rsidRPr="00BB35CB" w:rsidRDefault="0087372E" w:rsidP="00E57573">
            <w:pPr>
              <w:tabs>
                <w:tab w:val="num" w:pos="0"/>
                <w:tab w:val="left" w:pos="993"/>
              </w:tabs>
            </w:pPr>
          </w:p>
        </w:tc>
        <w:tc>
          <w:tcPr>
            <w:tcW w:w="724" w:type="dxa"/>
          </w:tcPr>
          <w:p w14:paraId="03577365" w14:textId="42A1D58A" w:rsidR="0087372E" w:rsidRPr="00BB35CB" w:rsidRDefault="0087372E" w:rsidP="00E57573">
            <w:pPr>
              <w:tabs>
                <w:tab w:val="num" w:pos="0"/>
                <w:tab w:val="left" w:pos="993"/>
              </w:tabs>
            </w:pPr>
          </w:p>
        </w:tc>
      </w:tr>
      <w:tr w:rsidR="0087372E" w:rsidRPr="0059736B" w14:paraId="2C942065" w14:textId="282602FD" w:rsidTr="007A37DF">
        <w:trPr>
          <w:trHeight w:val="270"/>
          <w:jc w:val="center"/>
        </w:trPr>
        <w:tc>
          <w:tcPr>
            <w:tcW w:w="570" w:type="dxa"/>
            <w:shd w:val="clear" w:color="auto" w:fill="auto"/>
          </w:tcPr>
          <w:p w14:paraId="69200320"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0C24D977" w14:textId="1332AA53" w:rsidR="0087372E" w:rsidRPr="00BB35CB" w:rsidRDefault="0087372E" w:rsidP="00E57573">
            <w:pPr>
              <w:tabs>
                <w:tab w:val="num" w:pos="0"/>
                <w:tab w:val="left" w:pos="993"/>
              </w:tabs>
            </w:pPr>
            <w:r>
              <w:t>vaizdo su garsu arba pokalbių (telefonu ar panašiai) garso įrašai</w:t>
            </w:r>
          </w:p>
        </w:tc>
        <w:tc>
          <w:tcPr>
            <w:tcW w:w="697" w:type="dxa"/>
          </w:tcPr>
          <w:p w14:paraId="08A3FBEA" w14:textId="77777777" w:rsidR="0087372E" w:rsidRDefault="0087372E" w:rsidP="00E57573">
            <w:pPr>
              <w:tabs>
                <w:tab w:val="num" w:pos="0"/>
                <w:tab w:val="left" w:pos="993"/>
              </w:tabs>
            </w:pPr>
          </w:p>
        </w:tc>
        <w:tc>
          <w:tcPr>
            <w:tcW w:w="724" w:type="dxa"/>
          </w:tcPr>
          <w:p w14:paraId="554D6493" w14:textId="274B23AA" w:rsidR="0087372E" w:rsidRDefault="0087372E" w:rsidP="00E57573">
            <w:pPr>
              <w:tabs>
                <w:tab w:val="num" w:pos="0"/>
                <w:tab w:val="left" w:pos="993"/>
              </w:tabs>
            </w:pPr>
          </w:p>
        </w:tc>
      </w:tr>
      <w:tr w:rsidR="0087372E" w:rsidRPr="0059736B" w14:paraId="1A7955E2" w14:textId="5C056C38" w:rsidTr="007A37DF">
        <w:trPr>
          <w:trHeight w:val="270"/>
          <w:jc w:val="center"/>
        </w:trPr>
        <w:tc>
          <w:tcPr>
            <w:tcW w:w="570" w:type="dxa"/>
            <w:shd w:val="clear" w:color="auto" w:fill="auto"/>
          </w:tcPr>
          <w:p w14:paraId="7F745897" w14:textId="77777777" w:rsidR="0087372E" w:rsidRPr="00C6034F"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2D778B6C" w14:textId="51459771" w:rsidR="0087372E" w:rsidRPr="0059736B" w:rsidRDefault="0087372E" w:rsidP="00E57573">
            <w:pPr>
              <w:tabs>
                <w:tab w:val="num" w:pos="0"/>
                <w:tab w:val="left" w:pos="993"/>
              </w:tabs>
              <w:rPr>
                <w:rFonts w:eastAsia="Calibri"/>
                <w:b/>
                <w:szCs w:val="24"/>
              </w:rPr>
            </w:pPr>
            <w:r>
              <w:t>duomenų tvarkymas panaudojant anksčiau tyrėjo nenaudotas technologijas</w:t>
            </w:r>
          </w:p>
        </w:tc>
        <w:tc>
          <w:tcPr>
            <w:tcW w:w="697" w:type="dxa"/>
          </w:tcPr>
          <w:p w14:paraId="31B1C16F" w14:textId="77777777" w:rsidR="0087372E" w:rsidRDefault="0087372E" w:rsidP="00E57573">
            <w:pPr>
              <w:tabs>
                <w:tab w:val="num" w:pos="0"/>
                <w:tab w:val="left" w:pos="993"/>
              </w:tabs>
            </w:pPr>
          </w:p>
        </w:tc>
        <w:tc>
          <w:tcPr>
            <w:tcW w:w="724" w:type="dxa"/>
          </w:tcPr>
          <w:p w14:paraId="57158C77" w14:textId="1603FA9B" w:rsidR="0087372E" w:rsidRDefault="0087372E" w:rsidP="00E57573">
            <w:pPr>
              <w:tabs>
                <w:tab w:val="num" w:pos="0"/>
                <w:tab w:val="left" w:pos="993"/>
              </w:tabs>
            </w:pPr>
          </w:p>
        </w:tc>
      </w:tr>
      <w:tr w:rsidR="0087372E" w:rsidRPr="0059736B" w14:paraId="46556E44" w14:textId="5E86C811" w:rsidTr="007A37DF">
        <w:trPr>
          <w:trHeight w:val="541"/>
          <w:jc w:val="center"/>
        </w:trPr>
        <w:tc>
          <w:tcPr>
            <w:tcW w:w="570" w:type="dxa"/>
            <w:shd w:val="clear" w:color="auto" w:fill="auto"/>
          </w:tcPr>
          <w:p w14:paraId="31AF1986"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2572F609" w14:textId="55D9F612" w:rsidR="0087372E" w:rsidRPr="00BB35CB" w:rsidRDefault="0087372E" w:rsidP="00E57573">
            <w:pPr>
              <w:tabs>
                <w:tab w:val="num" w:pos="0"/>
                <w:tab w:val="left" w:pos="993"/>
              </w:tabs>
            </w:pPr>
            <w:r>
              <w:t xml:space="preserve">Nepilnamečių </w:t>
            </w:r>
            <w:r w:rsidRPr="00BB35CB">
              <w:t>asmenini</w:t>
            </w:r>
            <w:r>
              <w:t>ų</w:t>
            </w:r>
            <w:r w:rsidRPr="00BB35CB">
              <w:t xml:space="preserve"> aspekt</w:t>
            </w:r>
            <w:r>
              <w:t>ų vertinimas (etninė kilmė, pažangumas, sveikata, pažiūros ir kt.)</w:t>
            </w:r>
          </w:p>
        </w:tc>
        <w:tc>
          <w:tcPr>
            <w:tcW w:w="697" w:type="dxa"/>
          </w:tcPr>
          <w:p w14:paraId="12FFA04A" w14:textId="77777777" w:rsidR="0087372E" w:rsidRDefault="0087372E" w:rsidP="00E57573">
            <w:pPr>
              <w:tabs>
                <w:tab w:val="num" w:pos="0"/>
                <w:tab w:val="left" w:pos="993"/>
              </w:tabs>
            </w:pPr>
          </w:p>
        </w:tc>
        <w:tc>
          <w:tcPr>
            <w:tcW w:w="724" w:type="dxa"/>
          </w:tcPr>
          <w:p w14:paraId="73B61DF9" w14:textId="0B5690DA" w:rsidR="0087372E" w:rsidRDefault="0087372E" w:rsidP="00E57573">
            <w:pPr>
              <w:tabs>
                <w:tab w:val="num" w:pos="0"/>
                <w:tab w:val="left" w:pos="993"/>
              </w:tabs>
            </w:pPr>
          </w:p>
        </w:tc>
      </w:tr>
      <w:tr w:rsidR="0087372E" w:rsidRPr="0059736B" w14:paraId="7C8D4DB9" w14:textId="4F7C3CBD" w:rsidTr="007A37DF">
        <w:trPr>
          <w:trHeight w:val="270"/>
          <w:jc w:val="center"/>
        </w:trPr>
        <w:tc>
          <w:tcPr>
            <w:tcW w:w="570" w:type="dxa"/>
            <w:shd w:val="clear" w:color="auto" w:fill="auto"/>
          </w:tcPr>
          <w:p w14:paraId="7EA379EB"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60891B57" w14:textId="2D5FBD51" w:rsidR="0087372E" w:rsidRPr="0059736B" w:rsidRDefault="0087372E" w:rsidP="00E57573">
            <w:pPr>
              <w:tabs>
                <w:tab w:val="num" w:pos="0"/>
                <w:tab w:val="left" w:pos="993"/>
              </w:tabs>
              <w:rPr>
                <w:rFonts w:eastAsia="Calibri"/>
                <w:b/>
                <w:szCs w:val="24"/>
              </w:rPr>
            </w:pPr>
            <w:r w:rsidRPr="00BB35CB">
              <w:t xml:space="preserve">darbuotojų </w:t>
            </w:r>
            <w:r>
              <w:t xml:space="preserve">vaizdo </w:t>
            </w:r>
            <w:r w:rsidRPr="00BB35CB">
              <w:t>stebė</w:t>
            </w:r>
            <w:r>
              <w:t xml:space="preserve">jimas </w:t>
            </w:r>
            <w:r w:rsidRPr="00BB35CB">
              <w:t>kontrolės tikslais</w:t>
            </w:r>
          </w:p>
        </w:tc>
        <w:tc>
          <w:tcPr>
            <w:tcW w:w="697" w:type="dxa"/>
          </w:tcPr>
          <w:p w14:paraId="7E0E42E9" w14:textId="77777777" w:rsidR="0087372E" w:rsidRPr="00BB35CB" w:rsidRDefault="0087372E" w:rsidP="00E57573">
            <w:pPr>
              <w:tabs>
                <w:tab w:val="num" w:pos="0"/>
                <w:tab w:val="left" w:pos="993"/>
              </w:tabs>
            </w:pPr>
          </w:p>
        </w:tc>
        <w:tc>
          <w:tcPr>
            <w:tcW w:w="724" w:type="dxa"/>
          </w:tcPr>
          <w:p w14:paraId="6C32F773" w14:textId="73B4E6FC" w:rsidR="0087372E" w:rsidRPr="00BB35CB" w:rsidRDefault="0087372E" w:rsidP="00E57573">
            <w:pPr>
              <w:tabs>
                <w:tab w:val="num" w:pos="0"/>
                <w:tab w:val="left" w:pos="993"/>
              </w:tabs>
            </w:pPr>
          </w:p>
        </w:tc>
      </w:tr>
      <w:tr w:rsidR="0087372E" w:rsidRPr="0059736B" w14:paraId="1E51A131" w14:textId="68A3B356" w:rsidTr="007A37DF">
        <w:trPr>
          <w:trHeight w:val="270"/>
          <w:jc w:val="center"/>
        </w:trPr>
        <w:tc>
          <w:tcPr>
            <w:tcW w:w="570" w:type="dxa"/>
            <w:shd w:val="clear" w:color="auto" w:fill="auto"/>
          </w:tcPr>
          <w:p w14:paraId="442AFE5D" w14:textId="77777777" w:rsidR="0087372E" w:rsidRPr="00E57573" w:rsidRDefault="0087372E" w:rsidP="00E57573">
            <w:pPr>
              <w:pStyle w:val="ListParagraph"/>
              <w:numPr>
                <w:ilvl w:val="0"/>
                <w:numId w:val="2"/>
              </w:numPr>
              <w:tabs>
                <w:tab w:val="num" w:pos="0"/>
                <w:tab w:val="left" w:pos="993"/>
              </w:tabs>
              <w:rPr>
                <w:rFonts w:eastAsia="Calibri"/>
                <w:b/>
                <w:szCs w:val="24"/>
              </w:rPr>
            </w:pPr>
          </w:p>
        </w:tc>
        <w:tc>
          <w:tcPr>
            <w:tcW w:w="9172" w:type="dxa"/>
            <w:shd w:val="clear" w:color="auto" w:fill="auto"/>
          </w:tcPr>
          <w:p w14:paraId="406D068F" w14:textId="2B1748C2" w:rsidR="0087372E" w:rsidRPr="00BB35CB" w:rsidRDefault="0087372E" w:rsidP="00E57573">
            <w:pPr>
              <w:tabs>
                <w:tab w:val="num" w:pos="0"/>
                <w:tab w:val="left" w:pos="993"/>
              </w:tabs>
            </w:pPr>
            <w:r>
              <w:rPr>
                <w:rFonts w:eastAsia="Calibri"/>
                <w:szCs w:val="24"/>
              </w:rPr>
              <w:t xml:space="preserve">sprendimų priėmimas </w:t>
            </w:r>
            <w:r w:rsidRPr="0059736B">
              <w:rPr>
                <w:rFonts w:eastAsia="Calibri"/>
                <w:szCs w:val="24"/>
              </w:rPr>
              <w:t>automatizuot</w:t>
            </w:r>
            <w:r>
              <w:rPr>
                <w:rFonts w:eastAsia="Calibri"/>
                <w:szCs w:val="24"/>
              </w:rPr>
              <w:t>u būdu</w:t>
            </w:r>
          </w:p>
        </w:tc>
        <w:tc>
          <w:tcPr>
            <w:tcW w:w="697" w:type="dxa"/>
          </w:tcPr>
          <w:p w14:paraId="553A7638" w14:textId="77777777" w:rsidR="0087372E" w:rsidRDefault="0087372E" w:rsidP="00E57573">
            <w:pPr>
              <w:tabs>
                <w:tab w:val="num" w:pos="0"/>
                <w:tab w:val="left" w:pos="993"/>
              </w:tabs>
              <w:rPr>
                <w:rFonts w:eastAsia="Calibri"/>
                <w:szCs w:val="24"/>
              </w:rPr>
            </w:pPr>
          </w:p>
        </w:tc>
        <w:tc>
          <w:tcPr>
            <w:tcW w:w="724" w:type="dxa"/>
          </w:tcPr>
          <w:p w14:paraId="6B23C7E6" w14:textId="0429DE1B" w:rsidR="0087372E" w:rsidRDefault="0087372E" w:rsidP="00E57573">
            <w:pPr>
              <w:tabs>
                <w:tab w:val="num" w:pos="0"/>
                <w:tab w:val="left" w:pos="993"/>
              </w:tabs>
              <w:rPr>
                <w:rFonts w:eastAsia="Calibri"/>
                <w:szCs w:val="24"/>
              </w:rPr>
            </w:pPr>
          </w:p>
        </w:tc>
      </w:tr>
      <w:tr w:rsidR="0087372E" w:rsidRPr="0059736B" w14:paraId="4E244379" w14:textId="20965239" w:rsidTr="007A37DF">
        <w:trPr>
          <w:trHeight w:val="285"/>
          <w:jc w:val="center"/>
        </w:trPr>
        <w:tc>
          <w:tcPr>
            <w:tcW w:w="570" w:type="dxa"/>
            <w:shd w:val="clear" w:color="auto" w:fill="auto"/>
          </w:tcPr>
          <w:p w14:paraId="72FC0A56" w14:textId="77777777" w:rsidR="0087372E" w:rsidRPr="00E57573" w:rsidRDefault="0087372E" w:rsidP="001210F1">
            <w:pPr>
              <w:pStyle w:val="ListParagraph"/>
              <w:numPr>
                <w:ilvl w:val="0"/>
                <w:numId w:val="2"/>
              </w:numPr>
              <w:tabs>
                <w:tab w:val="num" w:pos="0"/>
                <w:tab w:val="left" w:pos="993"/>
              </w:tabs>
              <w:rPr>
                <w:rFonts w:eastAsia="Calibri"/>
                <w:b/>
                <w:szCs w:val="24"/>
              </w:rPr>
            </w:pPr>
          </w:p>
        </w:tc>
        <w:tc>
          <w:tcPr>
            <w:tcW w:w="9172" w:type="dxa"/>
            <w:shd w:val="clear" w:color="auto" w:fill="auto"/>
          </w:tcPr>
          <w:p w14:paraId="4A2576FC" w14:textId="565097E2" w:rsidR="0087372E" w:rsidRPr="0059736B" w:rsidRDefault="0087372E" w:rsidP="001210F1">
            <w:pPr>
              <w:tabs>
                <w:tab w:val="num" w:pos="0"/>
                <w:tab w:val="left" w:pos="993"/>
              </w:tabs>
              <w:rPr>
                <w:rFonts w:eastAsia="Calibri"/>
                <w:szCs w:val="24"/>
              </w:rPr>
            </w:pPr>
            <w:r>
              <w:rPr>
                <w:rFonts w:eastAsia="Calibri"/>
                <w:szCs w:val="24"/>
              </w:rPr>
              <w:t xml:space="preserve">subjektų </w:t>
            </w:r>
            <w:r w:rsidRPr="0059736B">
              <w:rPr>
                <w:rFonts w:eastAsia="Calibri"/>
                <w:szCs w:val="24"/>
              </w:rPr>
              <w:t>vietos nustatymo duomen</w:t>
            </w:r>
            <w:r>
              <w:rPr>
                <w:rFonts w:eastAsia="Calibri"/>
                <w:szCs w:val="24"/>
              </w:rPr>
              <w:t>ys</w:t>
            </w:r>
          </w:p>
        </w:tc>
        <w:tc>
          <w:tcPr>
            <w:tcW w:w="697" w:type="dxa"/>
          </w:tcPr>
          <w:p w14:paraId="3615737B" w14:textId="77777777" w:rsidR="0087372E" w:rsidRDefault="0087372E" w:rsidP="001210F1">
            <w:pPr>
              <w:tabs>
                <w:tab w:val="num" w:pos="0"/>
                <w:tab w:val="left" w:pos="993"/>
              </w:tabs>
              <w:rPr>
                <w:rFonts w:eastAsia="Calibri"/>
                <w:szCs w:val="24"/>
              </w:rPr>
            </w:pPr>
          </w:p>
        </w:tc>
        <w:tc>
          <w:tcPr>
            <w:tcW w:w="724" w:type="dxa"/>
          </w:tcPr>
          <w:p w14:paraId="41DD288D" w14:textId="3ED615F7" w:rsidR="0087372E" w:rsidRDefault="0087372E" w:rsidP="001210F1">
            <w:pPr>
              <w:tabs>
                <w:tab w:val="num" w:pos="0"/>
                <w:tab w:val="left" w:pos="993"/>
              </w:tabs>
              <w:rPr>
                <w:rFonts w:eastAsia="Calibri"/>
                <w:szCs w:val="24"/>
              </w:rPr>
            </w:pPr>
          </w:p>
        </w:tc>
      </w:tr>
      <w:tr w:rsidR="0087372E" w:rsidRPr="0059736B" w14:paraId="638CB5DC" w14:textId="5167741D" w:rsidTr="007A37DF">
        <w:trPr>
          <w:trHeight w:val="270"/>
          <w:jc w:val="center"/>
        </w:trPr>
        <w:tc>
          <w:tcPr>
            <w:tcW w:w="570" w:type="dxa"/>
            <w:shd w:val="clear" w:color="auto" w:fill="auto"/>
          </w:tcPr>
          <w:p w14:paraId="36557155" w14:textId="77777777" w:rsidR="0087372E" w:rsidRPr="00E57573" w:rsidRDefault="0087372E" w:rsidP="001210F1">
            <w:pPr>
              <w:pStyle w:val="ListParagraph"/>
              <w:numPr>
                <w:ilvl w:val="0"/>
                <w:numId w:val="2"/>
              </w:numPr>
              <w:tabs>
                <w:tab w:val="num" w:pos="0"/>
                <w:tab w:val="left" w:pos="993"/>
              </w:tabs>
              <w:rPr>
                <w:rFonts w:eastAsia="Calibri"/>
                <w:b/>
                <w:szCs w:val="24"/>
              </w:rPr>
            </w:pPr>
          </w:p>
        </w:tc>
        <w:tc>
          <w:tcPr>
            <w:tcW w:w="9172" w:type="dxa"/>
            <w:shd w:val="clear" w:color="auto" w:fill="auto"/>
          </w:tcPr>
          <w:p w14:paraId="06E9A90B" w14:textId="5F857A84" w:rsidR="0087372E" w:rsidRPr="0059736B" w:rsidRDefault="0087372E" w:rsidP="001210F1">
            <w:pPr>
              <w:tabs>
                <w:tab w:val="num" w:pos="0"/>
                <w:tab w:val="left" w:pos="993"/>
              </w:tabs>
              <w:rPr>
                <w:rFonts w:eastAsia="Calibri"/>
                <w:szCs w:val="24"/>
              </w:rPr>
            </w:pPr>
            <w:r w:rsidRPr="0059736B">
              <w:rPr>
                <w:rFonts w:eastAsia="Calibri"/>
                <w:szCs w:val="24"/>
              </w:rPr>
              <w:t>privati korespondencija, laiškai, elektroniniai laiškai</w:t>
            </w:r>
            <w:r>
              <w:rPr>
                <w:rFonts w:eastAsia="Calibri"/>
                <w:szCs w:val="24"/>
              </w:rPr>
              <w:t>, socialiniai tinklai</w:t>
            </w:r>
            <w:r w:rsidRPr="0059736B">
              <w:rPr>
                <w:rFonts w:eastAsia="Calibri"/>
                <w:szCs w:val="24"/>
              </w:rPr>
              <w:t xml:space="preserve"> ir kt.</w:t>
            </w:r>
          </w:p>
        </w:tc>
        <w:tc>
          <w:tcPr>
            <w:tcW w:w="697" w:type="dxa"/>
          </w:tcPr>
          <w:p w14:paraId="335F7FB1" w14:textId="77777777" w:rsidR="0087372E" w:rsidRPr="0059736B" w:rsidRDefault="0087372E" w:rsidP="001210F1">
            <w:pPr>
              <w:tabs>
                <w:tab w:val="num" w:pos="0"/>
                <w:tab w:val="left" w:pos="993"/>
              </w:tabs>
              <w:rPr>
                <w:rFonts w:eastAsia="Calibri"/>
                <w:szCs w:val="24"/>
              </w:rPr>
            </w:pPr>
          </w:p>
        </w:tc>
        <w:tc>
          <w:tcPr>
            <w:tcW w:w="724" w:type="dxa"/>
          </w:tcPr>
          <w:p w14:paraId="08DE557B" w14:textId="6FFC0BD9" w:rsidR="0087372E" w:rsidRPr="0059736B" w:rsidRDefault="0087372E" w:rsidP="001210F1">
            <w:pPr>
              <w:tabs>
                <w:tab w:val="num" w:pos="0"/>
                <w:tab w:val="left" w:pos="993"/>
              </w:tabs>
              <w:rPr>
                <w:rFonts w:eastAsia="Calibri"/>
                <w:szCs w:val="24"/>
              </w:rPr>
            </w:pPr>
          </w:p>
        </w:tc>
      </w:tr>
      <w:tr w:rsidR="0087372E" w:rsidRPr="0059736B" w14:paraId="3D06E6E3" w14:textId="3F8C290B" w:rsidTr="007A37DF">
        <w:trPr>
          <w:trHeight w:val="255"/>
          <w:jc w:val="center"/>
        </w:trPr>
        <w:tc>
          <w:tcPr>
            <w:tcW w:w="570" w:type="dxa"/>
            <w:shd w:val="clear" w:color="auto" w:fill="auto"/>
          </w:tcPr>
          <w:p w14:paraId="3F1C4B21" w14:textId="77777777" w:rsidR="0087372E" w:rsidRPr="00E57573" w:rsidRDefault="0087372E" w:rsidP="001210F1">
            <w:pPr>
              <w:pStyle w:val="ListParagraph"/>
              <w:numPr>
                <w:ilvl w:val="0"/>
                <w:numId w:val="2"/>
              </w:numPr>
              <w:tabs>
                <w:tab w:val="num" w:pos="0"/>
                <w:tab w:val="left" w:pos="993"/>
              </w:tabs>
              <w:rPr>
                <w:rFonts w:eastAsia="Calibri"/>
                <w:b/>
                <w:szCs w:val="24"/>
              </w:rPr>
            </w:pPr>
          </w:p>
        </w:tc>
        <w:tc>
          <w:tcPr>
            <w:tcW w:w="9172" w:type="dxa"/>
            <w:shd w:val="clear" w:color="auto" w:fill="auto"/>
          </w:tcPr>
          <w:p w14:paraId="3B7AF506" w14:textId="65CF52CB" w:rsidR="0087372E" w:rsidRPr="0059736B" w:rsidRDefault="0087372E" w:rsidP="001210F1">
            <w:pPr>
              <w:tabs>
                <w:tab w:val="num" w:pos="0"/>
                <w:tab w:val="left" w:pos="993"/>
              </w:tabs>
              <w:rPr>
                <w:rFonts w:eastAsia="Calibri"/>
                <w:szCs w:val="24"/>
              </w:rPr>
            </w:pPr>
            <w:r>
              <w:rPr>
                <w:rFonts w:eastAsia="Calibri"/>
                <w:szCs w:val="24"/>
              </w:rPr>
              <w:t xml:space="preserve">perdavimas į trečiąsias </w:t>
            </w:r>
            <w:r w:rsidRPr="0059736B">
              <w:rPr>
                <w:rFonts w:eastAsia="Calibri"/>
                <w:szCs w:val="24"/>
              </w:rPr>
              <w:t>valstyb</w:t>
            </w:r>
            <w:r>
              <w:rPr>
                <w:rFonts w:eastAsia="Calibri"/>
                <w:szCs w:val="24"/>
              </w:rPr>
              <w:t>es</w:t>
            </w:r>
            <w:r>
              <w:rPr>
                <w:rStyle w:val="EndnoteReference"/>
                <w:rFonts w:eastAsia="Calibri"/>
                <w:szCs w:val="24"/>
              </w:rPr>
              <w:endnoteReference w:id="4"/>
            </w:r>
          </w:p>
        </w:tc>
        <w:tc>
          <w:tcPr>
            <w:tcW w:w="697" w:type="dxa"/>
          </w:tcPr>
          <w:p w14:paraId="6413BF27" w14:textId="77777777" w:rsidR="0087372E" w:rsidRDefault="0087372E" w:rsidP="001210F1">
            <w:pPr>
              <w:tabs>
                <w:tab w:val="num" w:pos="0"/>
                <w:tab w:val="left" w:pos="993"/>
              </w:tabs>
              <w:rPr>
                <w:rFonts w:eastAsia="Calibri"/>
                <w:szCs w:val="24"/>
              </w:rPr>
            </w:pPr>
          </w:p>
        </w:tc>
        <w:tc>
          <w:tcPr>
            <w:tcW w:w="724" w:type="dxa"/>
          </w:tcPr>
          <w:p w14:paraId="7F0F5AA4" w14:textId="71B26684" w:rsidR="0087372E" w:rsidRDefault="0087372E" w:rsidP="001210F1">
            <w:pPr>
              <w:tabs>
                <w:tab w:val="num" w:pos="0"/>
                <w:tab w:val="left" w:pos="993"/>
              </w:tabs>
              <w:rPr>
                <w:rFonts w:eastAsia="Calibri"/>
                <w:szCs w:val="24"/>
              </w:rPr>
            </w:pPr>
          </w:p>
        </w:tc>
      </w:tr>
    </w:tbl>
    <w:p w14:paraId="64B226E5" w14:textId="3464CF81" w:rsidR="0051566B" w:rsidRDefault="0051566B"/>
    <w:p w14:paraId="3A3A1887" w14:textId="77777777" w:rsidR="007A37DF" w:rsidRDefault="007A37DF" w:rsidP="007A37DF">
      <w:r>
        <w:t xml:space="preserve">Su tyrimo protokolu susipažinau ir pritariu tyrimo protokolo teikimui VU MF Mokslinių tyrimų etikos komitetui vertinti. </w:t>
      </w:r>
    </w:p>
    <w:p w14:paraId="61CBD2CD" w14:textId="77777777" w:rsidR="007A37DF" w:rsidRDefault="007A37DF" w:rsidP="007A37DF"/>
    <w:p w14:paraId="6362E18E" w14:textId="77777777" w:rsidR="007A37DF" w:rsidRDefault="007A37DF" w:rsidP="007A37DF">
      <w:r>
        <w:t>Darbo vadovas</w:t>
      </w:r>
      <w:r>
        <w:tab/>
        <w:t>____________________________________</w:t>
      </w:r>
      <w:r>
        <w:tab/>
        <w:t xml:space="preserve">______________ </w:t>
      </w:r>
    </w:p>
    <w:p w14:paraId="1A796A19" w14:textId="6373F1AE" w:rsidR="007A37DF" w:rsidRDefault="007A37DF" w:rsidP="007A37DF">
      <w:r>
        <w:t xml:space="preserve"> </w:t>
      </w:r>
      <w:r>
        <w:tab/>
      </w:r>
      <w:r>
        <w:tab/>
      </w:r>
      <w:r>
        <w:tab/>
        <w:t xml:space="preserve">(vardas, pavardė, data)                                                 </w:t>
      </w:r>
      <w:r>
        <w:tab/>
        <w:t>(parašas)</w:t>
      </w:r>
    </w:p>
    <w:p w14:paraId="645E7AF4" w14:textId="179FDAD4" w:rsidR="007A37DF" w:rsidRDefault="007A37DF"/>
    <w:p w14:paraId="6A9AB7FA" w14:textId="4C90DE2B" w:rsidR="007A37DF" w:rsidRDefault="007A37DF"/>
    <w:p w14:paraId="6CA7E41F" w14:textId="77777777" w:rsidR="007A37DF" w:rsidRDefault="007A37DF"/>
    <w:p w14:paraId="1B0BEB61" w14:textId="0CBC899A" w:rsidR="00F80D14" w:rsidRDefault="00561429" w:rsidP="00452C2E">
      <w:pPr>
        <w:ind w:firstLine="720"/>
        <w:jc w:val="both"/>
      </w:pPr>
      <w:r>
        <w:t>Šis supaprastintas k</w:t>
      </w:r>
      <w:r w:rsidR="00E57DBB">
        <w:t xml:space="preserve">lausimynas </w:t>
      </w:r>
      <w:r>
        <w:t xml:space="preserve">yra </w:t>
      </w:r>
      <w:r w:rsidR="00E57DBB">
        <w:t xml:space="preserve">parengtas </w:t>
      </w:r>
      <w:r>
        <w:t xml:space="preserve">vadovaujantis </w:t>
      </w:r>
      <w:r w:rsidR="008E6BE8" w:rsidRPr="008E6BE8">
        <w:t>Valstybinės duomenų apsaugos inspekcijos direktoriaus 2019 m. kovo 14 d. įsakymu Nr. 1T-35 (1.12.E) patvirtintu Duomenų tvarkymo operacijų, kurioms taikomas reikalavimas atlikti poveikio duomenų apsaugai vertinimą, sąrašu</w:t>
      </w:r>
      <w:r w:rsidR="003B7880">
        <w:t xml:space="preserve">. Galutinį sprendimą dėl formalios PDAV procedūros poreikio </w:t>
      </w:r>
      <w:r w:rsidR="00452C2E">
        <w:t xml:space="preserve">po konsultacijos </w:t>
      </w:r>
      <w:r w:rsidR="003B7880">
        <w:t>priims Universiteto administracija</w:t>
      </w:r>
      <w:r w:rsidR="00452C2E">
        <w:t>.</w:t>
      </w:r>
    </w:p>
    <w:p w14:paraId="6153CEB1" w14:textId="77777777" w:rsidR="00F80D14" w:rsidRDefault="00F80D14" w:rsidP="00452C2E">
      <w:pPr>
        <w:ind w:firstLine="720"/>
        <w:jc w:val="both"/>
      </w:pPr>
      <w:bookmarkStart w:id="0" w:name="_GoBack"/>
      <w:bookmarkEnd w:id="0"/>
    </w:p>
    <w:sectPr w:rsidR="00F80D14" w:rsidSect="009102AB">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D341" w14:textId="77777777" w:rsidR="00F02609" w:rsidRDefault="00F02609" w:rsidP="00D3548E">
      <w:r>
        <w:separator/>
      </w:r>
    </w:p>
  </w:endnote>
  <w:endnote w:type="continuationSeparator" w:id="0">
    <w:p w14:paraId="27C7586B" w14:textId="77777777" w:rsidR="00F02609" w:rsidRDefault="00F02609" w:rsidP="00D3548E">
      <w:r>
        <w:continuationSeparator/>
      </w:r>
    </w:p>
  </w:endnote>
  <w:endnote w:id="1">
    <w:p w14:paraId="4F10CC65" w14:textId="4BEE8D64" w:rsidR="0087372E" w:rsidRDefault="0087372E" w:rsidP="00F80D14">
      <w:pPr>
        <w:pStyle w:val="FootnoteText"/>
        <w:jc w:val="both"/>
      </w:pPr>
      <w:r>
        <w:rPr>
          <w:rStyle w:val="EndnoteReference"/>
        </w:rPr>
        <w:endnoteRef/>
      </w:r>
      <w:r>
        <w:t xml:space="preserve"> </w:t>
      </w:r>
      <w:r w:rsidRPr="00537E8E">
        <w:t>asmens duomenys</w:t>
      </w:r>
      <w:r>
        <w:t xml:space="preserve"> </w:t>
      </w:r>
      <w:r w:rsidRPr="00537E8E">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r>
        <w:t>.</w:t>
      </w:r>
    </w:p>
    <w:p w14:paraId="052E983D" w14:textId="77777777" w:rsidR="0087372E" w:rsidRDefault="0087372E" w:rsidP="00F80D14">
      <w:pPr>
        <w:pStyle w:val="FootnoteText"/>
        <w:jc w:val="both"/>
      </w:pPr>
    </w:p>
  </w:endnote>
  <w:endnote w:id="2">
    <w:p w14:paraId="3BA541BA" w14:textId="588FA5AC" w:rsidR="0087372E" w:rsidRDefault="0087372E" w:rsidP="0087372E">
      <w:pPr>
        <w:pStyle w:val="EndnoteText"/>
        <w:jc w:val="both"/>
      </w:pPr>
      <w:r>
        <w:rPr>
          <w:rStyle w:val="EndnoteReference"/>
        </w:rPr>
        <w:endnoteRef/>
      </w:r>
      <w:r>
        <w:t xml:space="preserve"> </w:t>
      </w:r>
      <w:r w:rsidRPr="00D3548E">
        <w:t>Poveikio duomenų apsaugai vertinimas (toliau – PDAV) –</w:t>
      </w:r>
      <w:r w:rsidRPr="008E6718">
        <w:t xml:space="preserve">2016 m. balandžio 27 d. Europos Parlamento ir Tarybos reglamento (ES) 2016/679 dėl fizinių asmenų apsaugos tvarkant asmens duomenis ir dėl laisvo tokių duomenų judėjimo ir kuriuo panaikinama Direktyva 95/46/EB (Bendrojo duomenų apsaugos reglamento) (OL 2016 L 119, p. 1) </w:t>
      </w:r>
      <w:r>
        <w:t xml:space="preserve"> </w:t>
      </w:r>
      <w:r w:rsidRPr="00D3548E">
        <w:t>35 straipsnyje nustatyta atskaitomybės priemonė (Reglamento 5 str.), skirta duomenų tvarkymo operacijai aprašyti ir tokios duomenų tvarkymo operacijos reikalingumui ir proporcingumui įvertinti, padedanti valdyti pavojų, kuris fizinių asmenų teisėms ir laisvėms kyla dėl asmens duomenų tvarkymo, įskaitant pavojaus įvertinimą ir nustatant šio pavojaus pašalinimo priemones.</w:t>
      </w:r>
    </w:p>
    <w:p w14:paraId="0D7E6C67" w14:textId="77777777" w:rsidR="0087372E" w:rsidRDefault="0087372E" w:rsidP="0087372E">
      <w:pPr>
        <w:pStyle w:val="EndnoteText"/>
        <w:jc w:val="both"/>
      </w:pPr>
    </w:p>
  </w:endnote>
  <w:endnote w:id="3">
    <w:p w14:paraId="34593BFB" w14:textId="77777777" w:rsidR="0087372E" w:rsidRDefault="0087372E" w:rsidP="0087372E">
      <w:pPr>
        <w:pStyle w:val="EndnoteText"/>
        <w:jc w:val="both"/>
      </w:pPr>
      <w:r>
        <w:rPr>
          <w:rStyle w:val="EndnoteReference"/>
        </w:rPr>
        <w:endnoteRef/>
      </w:r>
      <w:r>
        <w:t xml:space="preserve"> </w:t>
      </w:r>
      <w:r w:rsidRPr="006354C2">
        <w:t xml:space="preserve">Pagal Europos Sąjungos direktyvą 2013/33/ES, pažeidžiamais asmenimis laikomi tokie asmenys kaip nepilnamečiai, žmonės su negalia, vyresnio amžiaus žmonės, nėščios moterys, nepilnamečius vaikus turintys vieniši tėvai, prekybos žmonėmis aukos, sunkiai sergantys, psichikos sutrikimų turintys asmenys, taip pat asmenys, kurie patyrė </w:t>
      </w:r>
      <w:proofErr w:type="spellStart"/>
      <w:r w:rsidRPr="006354C2">
        <w:t>kankinimus</w:t>
      </w:r>
      <w:proofErr w:type="spellEnd"/>
      <w:r w:rsidRPr="006354C2">
        <w:t>, išprievartavimą ar kitokias sunkaus psichologinio, fizinio arba seksualinio smurto formas</w:t>
      </w:r>
      <w:r>
        <w:t>.</w:t>
      </w:r>
      <w:r w:rsidRPr="006354C2">
        <w:t xml:space="preserve"> </w:t>
      </w:r>
      <w:r>
        <w:t xml:space="preserve">Kituose teisės aktuose įvardinamos kitos pažeidžiamų asmenų grupės. Pavyzdžiui žiūrėkite </w:t>
      </w:r>
      <w:r w:rsidRPr="00B05F0F">
        <w:t>Lietuvos Respublikos biomedicininių tyrimų etikos įstatym</w:t>
      </w:r>
      <w:r>
        <w:t>o 6 str. 6 straipsnis. Pažeidžiami asmenys ir jų interesų apsauga</w:t>
      </w:r>
    </w:p>
    <w:p w14:paraId="061264CC" w14:textId="06EB5D83" w:rsidR="0087372E" w:rsidRDefault="0087372E" w:rsidP="0087372E">
      <w:pPr>
        <w:pStyle w:val="EndnoteText"/>
        <w:jc w:val="both"/>
      </w:pPr>
      <w:r>
        <w:t>1. Pažeidžiamais asmenimis, kurių sutikimui dalyvauti biomedicininiame tyrime gali turėti įtakos išorinės aplinkybės ar kurie iš dalies ar visiškai nesugeba apginti savo interesų, laikomi:</w:t>
      </w:r>
    </w:p>
    <w:p w14:paraId="27DD9294" w14:textId="77777777" w:rsidR="0087372E" w:rsidRDefault="0087372E" w:rsidP="0087372E">
      <w:pPr>
        <w:pStyle w:val="EndnoteText"/>
      </w:pPr>
      <w:r>
        <w:t>1) asmenys, kurie dėl sveikatos būklės negali būti laikomi gebančiais protingai vertinti savo interesus;</w:t>
      </w:r>
    </w:p>
    <w:p w14:paraId="2F71B648" w14:textId="77777777" w:rsidR="0087372E" w:rsidRDefault="0087372E" w:rsidP="0087372E">
      <w:pPr>
        <w:pStyle w:val="EndnoteText"/>
      </w:pPr>
      <w:r>
        <w:t>2) vaikai;</w:t>
      </w:r>
    </w:p>
    <w:p w14:paraId="4F4EFBF3" w14:textId="77777777" w:rsidR="0087372E" w:rsidRDefault="0087372E" w:rsidP="0087372E">
      <w:pPr>
        <w:pStyle w:val="EndnoteText"/>
      </w:pPr>
      <w:r>
        <w:t>3) studentai, jeigu jų dalyvavimas biomedicininiame tyrime susijęs su studijomis;</w:t>
      </w:r>
    </w:p>
    <w:p w14:paraId="2AAAC8A5" w14:textId="77777777" w:rsidR="0087372E" w:rsidRDefault="0087372E" w:rsidP="0087372E">
      <w:pPr>
        <w:pStyle w:val="EndnoteText"/>
      </w:pPr>
      <w:r>
        <w:t>4) asmenys, gyvenantys socialinės globos įstaigose;</w:t>
      </w:r>
    </w:p>
    <w:p w14:paraId="49AB5007" w14:textId="77777777" w:rsidR="0087372E" w:rsidRDefault="0087372E" w:rsidP="0087372E">
      <w:pPr>
        <w:pStyle w:val="EndnoteText"/>
      </w:pPr>
      <w:r>
        <w:t>5) kariai jų tikrosios karinės tarnybos metu;</w:t>
      </w:r>
    </w:p>
    <w:p w14:paraId="4CDF8BD6" w14:textId="77777777" w:rsidR="0087372E" w:rsidRDefault="0087372E" w:rsidP="0087372E">
      <w:pPr>
        <w:pStyle w:val="EndnoteText"/>
      </w:pPr>
      <w:r>
        <w:t>6) sveikatos priežiūros įstaigų, kuriose atliekamas biomedicininis tyrimas, darbuotojai, pavaldūs tyrėjui;</w:t>
      </w:r>
    </w:p>
    <w:p w14:paraId="400C94F6" w14:textId="325C9233" w:rsidR="0087372E" w:rsidRDefault="0087372E" w:rsidP="0087372E">
      <w:pPr>
        <w:pStyle w:val="EndnoteText"/>
      </w:pPr>
      <w:r>
        <w:t>7) laisvės atėmimo vietų įstaigoje ir laikinojo sulaikymo vietose esantys asmenys.</w:t>
      </w:r>
    </w:p>
    <w:p w14:paraId="0C7401CF" w14:textId="77777777" w:rsidR="0087372E" w:rsidRDefault="0087372E">
      <w:pPr>
        <w:pStyle w:val="EndnoteText"/>
      </w:pPr>
    </w:p>
  </w:endnote>
  <w:endnote w:id="4">
    <w:p w14:paraId="68F4025E" w14:textId="39D4A8AF" w:rsidR="0087372E" w:rsidRDefault="0087372E" w:rsidP="0087372E">
      <w:pPr>
        <w:pStyle w:val="EndnoteText"/>
        <w:jc w:val="both"/>
      </w:pPr>
      <w:r>
        <w:rPr>
          <w:rStyle w:val="EndnoteReference"/>
        </w:rPr>
        <w:endnoteRef/>
      </w:r>
      <w:r>
        <w:t xml:space="preserve"> </w:t>
      </w:r>
      <w:r w:rsidRPr="001A6255">
        <w:t xml:space="preserve">Trečiosios valstybės pagal </w:t>
      </w:r>
      <w:r>
        <w:t xml:space="preserve">BDAR </w:t>
      </w:r>
      <w:r w:rsidRPr="001A6255">
        <w:t xml:space="preserve">kontekstą yra šalys, kurios nepriklauso </w:t>
      </w:r>
      <w:hyperlink r:id="rId1" w:history="1">
        <w:r w:rsidRPr="00D91F55">
          <w:rPr>
            <w:rStyle w:val="Hyperlink"/>
          </w:rPr>
          <w:t>Europos Sąjungai</w:t>
        </w:r>
      </w:hyperlink>
      <w:r w:rsidRPr="001A6255">
        <w:t xml:space="preserve"> arba </w:t>
      </w:r>
      <w:hyperlink r:id="rId2" w:history="1">
        <w:r w:rsidRPr="007A5ED0">
          <w:rPr>
            <w:rStyle w:val="Hyperlink"/>
          </w:rPr>
          <w:t>Europos Ekonominei Erdvei</w:t>
        </w:r>
      </w:hyperlink>
      <w:r w:rsidRPr="001A6255">
        <w:t>.</w:t>
      </w:r>
      <w:r>
        <w:t xml:space="preserve"> Taip pat yra kitų valstybių sąrašas, dėl kurių Europos Komisija priėmusi atskirus </w:t>
      </w:r>
      <w:hyperlink r:id="rId3" w:history="1">
        <w:r w:rsidRPr="00CD4628">
          <w:rPr>
            <w:rStyle w:val="Hyperlink"/>
          </w:rPr>
          <w:t>adekvatumo sprendimus</w:t>
        </w:r>
      </w:hyperlink>
      <w:r>
        <w:t>, kada leidimo perduoti duomenis į tą šalį nereikia.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20A8B" w14:textId="77777777" w:rsidR="00F02609" w:rsidRDefault="00F02609" w:rsidP="00D3548E">
      <w:r>
        <w:separator/>
      </w:r>
    </w:p>
  </w:footnote>
  <w:footnote w:type="continuationSeparator" w:id="0">
    <w:p w14:paraId="5EF88E14" w14:textId="77777777" w:rsidR="00F02609" w:rsidRDefault="00F02609" w:rsidP="00D35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B2E"/>
    <w:multiLevelType w:val="hybridMultilevel"/>
    <w:tmpl w:val="FF807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F73231"/>
    <w:multiLevelType w:val="hybridMultilevel"/>
    <w:tmpl w:val="641AC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73"/>
    <w:rsid w:val="000239D8"/>
    <w:rsid w:val="00056D71"/>
    <w:rsid w:val="000661B1"/>
    <w:rsid w:val="000830C6"/>
    <w:rsid w:val="000B169B"/>
    <w:rsid w:val="000E2B12"/>
    <w:rsid w:val="001025C2"/>
    <w:rsid w:val="001210F1"/>
    <w:rsid w:val="001316C3"/>
    <w:rsid w:val="001460C4"/>
    <w:rsid w:val="001A6255"/>
    <w:rsid w:val="001B6E9F"/>
    <w:rsid w:val="00215D4C"/>
    <w:rsid w:val="00252B10"/>
    <w:rsid w:val="00256D89"/>
    <w:rsid w:val="002A7D0A"/>
    <w:rsid w:val="002D5D3F"/>
    <w:rsid w:val="003146D6"/>
    <w:rsid w:val="00343395"/>
    <w:rsid w:val="003440C4"/>
    <w:rsid w:val="00355613"/>
    <w:rsid w:val="0039257B"/>
    <w:rsid w:val="003B7880"/>
    <w:rsid w:val="003D44B0"/>
    <w:rsid w:val="00407972"/>
    <w:rsid w:val="004402D2"/>
    <w:rsid w:val="00452C2E"/>
    <w:rsid w:val="00452CB9"/>
    <w:rsid w:val="004C3AFD"/>
    <w:rsid w:val="004D3987"/>
    <w:rsid w:val="005124BE"/>
    <w:rsid w:val="0051566B"/>
    <w:rsid w:val="00521671"/>
    <w:rsid w:val="00523B4E"/>
    <w:rsid w:val="00537E8E"/>
    <w:rsid w:val="00561429"/>
    <w:rsid w:val="00562CD0"/>
    <w:rsid w:val="00592A5F"/>
    <w:rsid w:val="005A24EF"/>
    <w:rsid w:val="005F7041"/>
    <w:rsid w:val="006354C2"/>
    <w:rsid w:val="00660349"/>
    <w:rsid w:val="006969A4"/>
    <w:rsid w:val="006A18F6"/>
    <w:rsid w:val="006B394D"/>
    <w:rsid w:val="007116E1"/>
    <w:rsid w:val="00723B87"/>
    <w:rsid w:val="0072673B"/>
    <w:rsid w:val="00793C50"/>
    <w:rsid w:val="007A37DF"/>
    <w:rsid w:val="007A5ED0"/>
    <w:rsid w:val="007B6248"/>
    <w:rsid w:val="007C4A86"/>
    <w:rsid w:val="007D42FD"/>
    <w:rsid w:val="007F248A"/>
    <w:rsid w:val="00816E08"/>
    <w:rsid w:val="00850A17"/>
    <w:rsid w:val="00866B82"/>
    <w:rsid w:val="0087372E"/>
    <w:rsid w:val="008C25A3"/>
    <w:rsid w:val="008E6718"/>
    <w:rsid w:val="008E6A67"/>
    <w:rsid w:val="008E6BE8"/>
    <w:rsid w:val="009102AB"/>
    <w:rsid w:val="0094243A"/>
    <w:rsid w:val="009C1E8C"/>
    <w:rsid w:val="009D4F58"/>
    <w:rsid w:val="009D6575"/>
    <w:rsid w:val="009E6EB3"/>
    <w:rsid w:val="009F3C36"/>
    <w:rsid w:val="00A2044D"/>
    <w:rsid w:val="00A44A0C"/>
    <w:rsid w:val="00A47C64"/>
    <w:rsid w:val="00A65C7A"/>
    <w:rsid w:val="00A93D41"/>
    <w:rsid w:val="00AB3FDF"/>
    <w:rsid w:val="00AC1776"/>
    <w:rsid w:val="00AC755B"/>
    <w:rsid w:val="00B05F0F"/>
    <w:rsid w:val="00B203E2"/>
    <w:rsid w:val="00B47AA1"/>
    <w:rsid w:val="00B9674D"/>
    <w:rsid w:val="00BC2DE3"/>
    <w:rsid w:val="00BC35C4"/>
    <w:rsid w:val="00BD432C"/>
    <w:rsid w:val="00C14F94"/>
    <w:rsid w:val="00C6034F"/>
    <w:rsid w:val="00CA2034"/>
    <w:rsid w:val="00CA5EFA"/>
    <w:rsid w:val="00CA623E"/>
    <w:rsid w:val="00CD4628"/>
    <w:rsid w:val="00D12BEB"/>
    <w:rsid w:val="00D33103"/>
    <w:rsid w:val="00D3548E"/>
    <w:rsid w:val="00D91F55"/>
    <w:rsid w:val="00E22CE1"/>
    <w:rsid w:val="00E325C1"/>
    <w:rsid w:val="00E57573"/>
    <w:rsid w:val="00E57DBB"/>
    <w:rsid w:val="00E95102"/>
    <w:rsid w:val="00EF216C"/>
    <w:rsid w:val="00F02609"/>
    <w:rsid w:val="00F23CCE"/>
    <w:rsid w:val="00F249C7"/>
    <w:rsid w:val="00F33922"/>
    <w:rsid w:val="00F3616F"/>
    <w:rsid w:val="00F80D14"/>
    <w:rsid w:val="00F873E7"/>
    <w:rsid w:val="00FD088A"/>
    <w:rsid w:val="00FD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3762"/>
  <w15:chartTrackingRefBased/>
  <w15:docId w15:val="{8BD7D734-87AA-4247-A196-FF232059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57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E57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5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5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5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5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573"/>
    <w:rPr>
      <w:rFonts w:eastAsiaTheme="majorEastAsia" w:cstheme="majorBidi"/>
      <w:color w:val="272727" w:themeColor="text1" w:themeTint="D8"/>
    </w:rPr>
  </w:style>
  <w:style w:type="paragraph" w:styleId="Title">
    <w:name w:val="Title"/>
    <w:basedOn w:val="Normal"/>
    <w:next w:val="Normal"/>
    <w:link w:val="TitleChar"/>
    <w:uiPriority w:val="10"/>
    <w:qFormat/>
    <w:rsid w:val="00E575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573"/>
    <w:pPr>
      <w:spacing w:before="160"/>
      <w:jc w:val="center"/>
    </w:pPr>
    <w:rPr>
      <w:i/>
      <w:iCs/>
      <w:color w:val="404040" w:themeColor="text1" w:themeTint="BF"/>
    </w:rPr>
  </w:style>
  <w:style w:type="character" w:customStyle="1" w:styleId="QuoteChar">
    <w:name w:val="Quote Char"/>
    <w:basedOn w:val="DefaultParagraphFont"/>
    <w:link w:val="Quote"/>
    <w:uiPriority w:val="29"/>
    <w:rsid w:val="00E57573"/>
    <w:rPr>
      <w:i/>
      <w:iCs/>
      <w:color w:val="404040" w:themeColor="text1" w:themeTint="BF"/>
    </w:rPr>
  </w:style>
  <w:style w:type="paragraph" w:styleId="ListParagraph">
    <w:name w:val="List Paragraph"/>
    <w:basedOn w:val="Normal"/>
    <w:uiPriority w:val="34"/>
    <w:qFormat/>
    <w:rsid w:val="00E57573"/>
    <w:pPr>
      <w:ind w:left="720"/>
      <w:contextualSpacing/>
    </w:pPr>
  </w:style>
  <w:style w:type="character" w:styleId="IntenseEmphasis">
    <w:name w:val="Intense Emphasis"/>
    <w:basedOn w:val="DefaultParagraphFont"/>
    <w:uiPriority w:val="21"/>
    <w:qFormat/>
    <w:rsid w:val="00E57573"/>
    <w:rPr>
      <w:i/>
      <w:iCs/>
      <w:color w:val="0F4761" w:themeColor="accent1" w:themeShade="BF"/>
    </w:rPr>
  </w:style>
  <w:style w:type="paragraph" w:styleId="IntenseQuote">
    <w:name w:val="Intense Quote"/>
    <w:basedOn w:val="Normal"/>
    <w:next w:val="Normal"/>
    <w:link w:val="IntenseQuoteChar"/>
    <w:uiPriority w:val="30"/>
    <w:qFormat/>
    <w:rsid w:val="00E57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573"/>
    <w:rPr>
      <w:i/>
      <w:iCs/>
      <w:color w:val="0F4761" w:themeColor="accent1" w:themeShade="BF"/>
    </w:rPr>
  </w:style>
  <w:style w:type="character" w:styleId="IntenseReference">
    <w:name w:val="Intense Reference"/>
    <w:basedOn w:val="DefaultParagraphFont"/>
    <w:uiPriority w:val="32"/>
    <w:qFormat/>
    <w:rsid w:val="00E57573"/>
    <w:rPr>
      <w:b/>
      <w:bCs/>
      <w:smallCaps/>
      <w:color w:val="0F4761" w:themeColor="accent1" w:themeShade="BF"/>
      <w:spacing w:val="5"/>
    </w:rPr>
  </w:style>
  <w:style w:type="paragraph" w:styleId="FootnoteText">
    <w:name w:val="footnote text"/>
    <w:basedOn w:val="Normal"/>
    <w:link w:val="FootnoteTextChar"/>
    <w:uiPriority w:val="99"/>
    <w:unhideWhenUsed/>
    <w:rsid w:val="00D3548E"/>
    <w:rPr>
      <w:sz w:val="20"/>
    </w:rPr>
  </w:style>
  <w:style w:type="character" w:customStyle="1" w:styleId="FootnoteTextChar">
    <w:name w:val="Footnote Text Char"/>
    <w:basedOn w:val="DefaultParagraphFont"/>
    <w:link w:val="FootnoteText"/>
    <w:uiPriority w:val="99"/>
    <w:rsid w:val="00D3548E"/>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D3548E"/>
    <w:rPr>
      <w:vertAlign w:val="superscript"/>
    </w:rPr>
  </w:style>
  <w:style w:type="character" w:styleId="Hyperlink">
    <w:name w:val="Hyperlink"/>
    <w:basedOn w:val="DefaultParagraphFont"/>
    <w:uiPriority w:val="99"/>
    <w:unhideWhenUsed/>
    <w:rsid w:val="00CD4628"/>
    <w:rPr>
      <w:color w:val="467886" w:themeColor="hyperlink"/>
      <w:u w:val="single"/>
    </w:rPr>
  </w:style>
  <w:style w:type="character" w:customStyle="1" w:styleId="UnresolvedMention">
    <w:name w:val="Unresolved Mention"/>
    <w:basedOn w:val="DefaultParagraphFont"/>
    <w:uiPriority w:val="99"/>
    <w:semiHidden/>
    <w:unhideWhenUsed/>
    <w:rsid w:val="00CD4628"/>
    <w:rPr>
      <w:color w:val="605E5C"/>
      <w:shd w:val="clear" w:color="auto" w:fill="E1DFDD"/>
    </w:rPr>
  </w:style>
  <w:style w:type="paragraph" w:styleId="EndnoteText">
    <w:name w:val="endnote text"/>
    <w:basedOn w:val="Normal"/>
    <w:link w:val="EndnoteTextChar"/>
    <w:uiPriority w:val="99"/>
    <w:semiHidden/>
    <w:unhideWhenUsed/>
    <w:rsid w:val="007116E1"/>
    <w:rPr>
      <w:sz w:val="20"/>
    </w:rPr>
  </w:style>
  <w:style w:type="character" w:customStyle="1" w:styleId="EndnoteTextChar">
    <w:name w:val="Endnote Text Char"/>
    <w:basedOn w:val="DefaultParagraphFont"/>
    <w:link w:val="EndnoteText"/>
    <w:uiPriority w:val="99"/>
    <w:semiHidden/>
    <w:rsid w:val="007116E1"/>
    <w:rPr>
      <w:rFonts w:ascii="Times New Roman" w:eastAsia="Times New Roman" w:hAnsi="Times New Roman" w:cs="Times New Roman"/>
      <w:kern w:val="0"/>
      <w:sz w:val="20"/>
      <w:szCs w:val="20"/>
      <w:lang w:val="lt-LT"/>
      <w14:ligatures w14:val="none"/>
    </w:rPr>
  </w:style>
  <w:style w:type="character" w:styleId="EndnoteReference">
    <w:name w:val="endnote reference"/>
    <w:basedOn w:val="DefaultParagraphFont"/>
    <w:uiPriority w:val="99"/>
    <w:semiHidden/>
    <w:unhideWhenUsed/>
    <w:rsid w:val="007116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7196">
      <w:bodyDiv w:val="1"/>
      <w:marLeft w:val="0"/>
      <w:marRight w:val="0"/>
      <w:marTop w:val="0"/>
      <w:marBottom w:val="0"/>
      <w:divBdr>
        <w:top w:val="none" w:sz="0" w:space="0" w:color="auto"/>
        <w:left w:val="none" w:sz="0" w:space="0" w:color="auto"/>
        <w:bottom w:val="none" w:sz="0" w:space="0" w:color="auto"/>
        <w:right w:val="none" w:sz="0" w:space="0" w:color="auto"/>
      </w:divBdr>
    </w:div>
    <w:div w:id="661734458">
      <w:bodyDiv w:val="1"/>
      <w:marLeft w:val="0"/>
      <w:marRight w:val="0"/>
      <w:marTop w:val="0"/>
      <w:marBottom w:val="0"/>
      <w:divBdr>
        <w:top w:val="none" w:sz="0" w:space="0" w:color="auto"/>
        <w:left w:val="none" w:sz="0" w:space="0" w:color="auto"/>
        <w:bottom w:val="none" w:sz="0" w:space="0" w:color="auto"/>
        <w:right w:val="none" w:sz="0" w:space="0" w:color="auto"/>
      </w:divBdr>
    </w:div>
    <w:div w:id="1380394664">
      <w:bodyDiv w:val="1"/>
      <w:marLeft w:val="0"/>
      <w:marRight w:val="0"/>
      <w:marTop w:val="0"/>
      <w:marBottom w:val="0"/>
      <w:divBdr>
        <w:top w:val="none" w:sz="0" w:space="0" w:color="auto"/>
        <w:left w:val="none" w:sz="0" w:space="0" w:color="auto"/>
        <w:bottom w:val="none" w:sz="0" w:space="0" w:color="auto"/>
        <w:right w:val="none" w:sz="0" w:space="0" w:color="auto"/>
      </w:divBdr>
    </w:div>
    <w:div w:id="2139493677">
      <w:bodyDiv w:val="1"/>
      <w:marLeft w:val="0"/>
      <w:marRight w:val="0"/>
      <w:marTop w:val="0"/>
      <w:marBottom w:val="0"/>
      <w:divBdr>
        <w:top w:val="none" w:sz="0" w:space="0" w:color="auto"/>
        <w:left w:val="none" w:sz="0" w:space="0" w:color="auto"/>
        <w:bottom w:val="none" w:sz="0" w:space="0" w:color="auto"/>
        <w:right w:val="none" w:sz="0" w:space="0" w:color="auto"/>
      </w:divBdr>
      <w:divsChild>
        <w:div w:id="1800029572">
          <w:marLeft w:val="0"/>
          <w:marRight w:val="0"/>
          <w:marTop w:val="0"/>
          <w:marBottom w:val="0"/>
          <w:divBdr>
            <w:top w:val="none" w:sz="0" w:space="0" w:color="auto"/>
            <w:left w:val="none" w:sz="0" w:space="0" w:color="auto"/>
            <w:bottom w:val="none" w:sz="0" w:space="0" w:color="auto"/>
            <w:right w:val="none" w:sz="0" w:space="0" w:color="auto"/>
          </w:divBdr>
        </w:div>
        <w:div w:id="197204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commission.europa.eu/law/law-topic/data-protection/international-dimension-data-protection/adequacy-decisions_en" TargetMode="External"/><Relationship Id="rId2" Type="http://schemas.openxmlformats.org/officeDocument/2006/relationships/hyperlink" Target="https://www.europarl.europa.eu/factsheets/lt/sheet/169/europos-ekonomine-erdve-eee-sveicarija-ir-europos-siaure" TargetMode="External"/><Relationship Id="rId1" Type="http://schemas.openxmlformats.org/officeDocument/2006/relationships/hyperlink" Target="https://european-union.europa.eu/principles-countries-history/country-profiles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03FC-4B6E-421E-BA65-3029DB8C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Bulavas</dc:creator>
  <cp:keywords/>
  <dc:description/>
  <cp:lastModifiedBy>Vartotojas</cp:lastModifiedBy>
  <cp:revision>3</cp:revision>
  <dcterms:created xsi:type="dcterms:W3CDTF">2024-02-13T13:12:00Z</dcterms:created>
  <dcterms:modified xsi:type="dcterms:W3CDTF">2024-02-21T13:58:00Z</dcterms:modified>
</cp:coreProperties>
</file>