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38" w:rsidRPr="00024D5B" w:rsidRDefault="00344838" w:rsidP="00344838">
      <w:pPr>
        <w:pStyle w:val="BodyA"/>
        <w:tabs>
          <w:tab w:val="left" w:pos="993"/>
        </w:tabs>
        <w:jc w:val="right"/>
      </w:pPr>
      <w:r w:rsidRPr="00024D5B">
        <w:t>PATVIRTINTA</w:t>
      </w:r>
    </w:p>
    <w:p w:rsidR="00344838" w:rsidRPr="00024D5B" w:rsidRDefault="00344838" w:rsidP="00344838">
      <w:pPr>
        <w:pStyle w:val="BodyA"/>
        <w:tabs>
          <w:tab w:val="left" w:pos="993"/>
        </w:tabs>
        <w:jc w:val="right"/>
      </w:pPr>
      <w:r w:rsidRPr="00024D5B">
        <w:t>Vilniaus universiteto Medicinos fakulteto dekano</w:t>
      </w:r>
    </w:p>
    <w:p w:rsidR="006307A6" w:rsidRDefault="00EB6973" w:rsidP="00344838">
      <w:pPr>
        <w:pStyle w:val="BodyA"/>
        <w:tabs>
          <w:tab w:val="left" w:pos="993"/>
        </w:tabs>
        <w:jc w:val="right"/>
      </w:pPr>
      <w:r>
        <w:t xml:space="preserve"> 2020 m. balandžio 24</w:t>
      </w:r>
      <w:r w:rsidR="00344838" w:rsidRPr="00024D5B">
        <w:t xml:space="preserve"> d. įsakymu </w:t>
      </w:r>
    </w:p>
    <w:p w:rsidR="00344838" w:rsidRDefault="00F3117B" w:rsidP="00344838">
      <w:pPr>
        <w:pStyle w:val="BodyA"/>
        <w:tabs>
          <w:tab w:val="left" w:pos="993"/>
        </w:tabs>
        <w:jc w:val="right"/>
      </w:pPr>
      <w:r>
        <w:t xml:space="preserve">Nr. </w:t>
      </w:r>
      <w:r w:rsidRPr="00F3117B">
        <w:t>(1.1 E) 150000-DV-35</w:t>
      </w:r>
    </w:p>
    <w:p w:rsidR="00344838" w:rsidRDefault="00344838" w:rsidP="00344838">
      <w:pPr>
        <w:pStyle w:val="BodyA"/>
        <w:tabs>
          <w:tab w:val="left" w:pos="993"/>
        </w:tabs>
        <w:jc w:val="center"/>
      </w:pPr>
      <w:bookmarkStart w:id="0" w:name="_GoBack"/>
      <w:bookmarkEnd w:id="0"/>
    </w:p>
    <w:p w:rsidR="00344838" w:rsidRDefault="00344838" w:rsidP="00344838">
      <w:pPr>
        <w:pStyle w:val="BodyA"/>
        <w:tabs>
          <w:tab w:val="left" w:pos="993"/>
        </w:tabs>
        <w:jc w:val="center"/>
      </w:pPr>
    </w:p>
    <w:p w:rsidR="00344838" w:rsidRPr="00566BA3" w:rsidRDefault="00344838" w:rsidP="00344838">
      <w:pPr>
        <w:pStyle w:val="BodyA"/>
        <w:tabs>
          <w:tab w:val="left" w:pos="993"/>
        </w:tabs>
        <w:jc w:val="center"/>
      </w:pPr>
      <w:r>
        <w:t xml:space="preserve">LAIKINIEJI </w:t>
      </w:r>
      <w:r w:rsidRPr="00566BA3">
        <w:t>VILNIAUS UNIVERSITETO MEDICINOS FAKULTETO BAIGIAMŲJŲ DARBŲ RENGIMO, GYNIMO</w:t>
      </w:r>
      <w:r>
        <w:t>, VERTINIMO</w:t>
      </w:r>
      <w:r w:rsidRPr="00566BA3">
        <w:t xml:space="preserve"> IR SAUGOJIMO NUOTOLINIU BŪDU NUOSTATAI</w:t>
      </w:r>
    </w:p>
    <w:p w:rsidR="00344838" w:rsidRPr="00566BA3" w:rsidRDefault="00344838" w:rsidP="00344838">
      <w:pPr>
        <w:pStyle w:val="BodyA"/>
        <w:tabs>
          <w:tab w:val="left" w:pos="993"/>
        </w:tabs>
        <w:jc w:val="center"/>
      </w:pPr>
    </w:p>
    <w:p w:rsidR="00344838" w:rsidRPr="00566BA3" w:rsidRDefault="00344838" w:rsidP="00344838">
      <w:pPr>
        <w:pStyle w:val="ListParagraph"/>
        <w:numPr>
          <w:ilvl w:val="1"/>
          <w:numId w:val="2"/>
        </w:numPr>
        <w:ind w:left="851" w:hanging="283"/>
        <w:jc w:val="both"/>
        <w:rPr>
          <w:lang w:val="lt-LT"/>
        </w:rPr>
      </w:pPr>
      <w:r w:rsidRPr="00566BA3">
        <w:rPr>
          <w:lang w:val="lt-LT"/>
        </w:rPr>
        <w:t>Baigiamųjų darbų (toliau – Darbai) temų pasirinkimas ir tvirtinimas vyksta kiekvienos studijų programos baigiamųjų darbų rengimo metodiniuose nurodymuose numatytais terminais ir nustatytais principais.</w:t>
      </w:r>
    </w:p>
    <w:p w:rsidR="00344838" w:rsidRPr="00566BA3" w:rsidRDefault="00344838" w:rsidP="00344838">
      <w:pPr>
        <w:pStyle w:val="ListParagraph"/>
        <w:numPr>
          <w:ilvl w:val="1"/>
          <w:numId w:val="2"/>
        </w:numPr>
        <w:ind w:left="851" w:hanging="283"/>
        <w:jc w:val="both"/>
        <w:rPr>
          <w:lang w:val="lt-LT"/>
        </w:rPr>
      </w:pPr>
      <w:r w:rsidRPr="00566BA3">
        <w:rPr>
          <w:lang w:val="lt-LT"/>
        </w:rPr>
        <w:t>Dekanas savo įsakymu leidžia ginti Baigiamuosius darbus, kurie atitinka šias sąlygas: </w:t>
      </w:r>
    </w:p>
    <w:p w:rsidR="00344838" w:rsidRPr="00566BA3" w:rsidRDefault="00344838" w:rsidP="00344838">
      <w:pPr>
        <w:pStyle w:val="ListParagraph"/>
        <w:ind w:left="1000"/>
        <w:rPr>
          <w:lang w:val="lt-LT"/>
        </w:rPr>
      </w:pPr>
      <w:r w:rsidRPr="00566BA3">
        <w:rPr>
          <w:lang w:val="lt-LT"/>
        </w:rPr>
        <w:t>2.1. Studijuojantysis įvykdė visą studijų programą; </w:t>
      </w:r>
    </w:p>
    <w:p w:rsidR="00344838" w:rsidRPr="00566BA3" w:rsidRDefault="00344838" w:rsidP="00344838">
      <w:pPr>
        <w:pStyle w:val="ListParagraph"/>
        <w:ind w:left="1000"/>
        <w:rPr>
          <w:lang w:val="lt-LT"/>
        </w:rPr>
      </w:pPr>
      <w:r w:rsidRPr="00566BA3">
        <w:rPr>
          <w:lang w:val="lt-LT"/>
        </w:rPr>
        <w:t>2.2. Baigiamasis darbas įkeltas į VUSIS;  </w:t>
      </w:r>
    </w:p>
    <w:p w:rsidR="00344838" w:rsidRPr="00566BA3" w:rsidRDefault="00344838" w:rsidP="00344838">
      <w:pPr>
        <w:pStyle w:val="ListParagraph"/>
        <w:ind w:left="1000"/>
        <w:rPr>
          <w:lang w:val="lt-LT"/>
        </w:rPr>
      </w:pPr>
      <w:r w:rsidRPr="00566BA3">
        <w:rPr>
          <w:lang w:val="lt-LT"/>
        </w:rPr>
        <w:t xml:space="preserve">2.3. Baigiamasis darbas pateiktas ir užregistruotas </w:t>
      </w:r>
      <w:r>
        <w:rPr>
          <w:lang w:val="lt-LT"/>
        </w:rPr>
        <w:t>K</w:t>
      </w:r>
      <w:r w:rsidRPr="00566BA3">
        <w:rPr>
          <w:lang w:val="lt-LT"/>
        </w:rPr>
        <w:t>atedroje</w:t>
      </w:r>
      <w:r>
        <w:rPr>
          <w:lang w:val="lt-LT"/>
        </w:rPr>
        <w:t xml:space="preserve"> </w:t>
      </w:r>
      <w:r w:rsidRPr="00566BA3">
        <w:rPr>
          <w:lang w:val="lt-LT"/>
        </w:rPr>
        <w:t>/</w:t>
      </w:r>
      <w:r>
        <w:rPr>
          <w:lang w:val="lt-LT"/>
        </w:rPr>
        <w:t xml:space="preserve"> K</w:t>
      </w:r>
      <w:r w:rsidRPr="00566BA3">
        <w:rPr>
          <w:lang w:val="lt-LT"/>
        </w:rPr>
        <w:t>linikoje;  </w:t>
      </w:r>
    </w:p>
    <w:p w:rsidR="00344838" w:rsidRPr="00566BA3" w:rsidRDefault="00344838" w:rsidP="00344838">
      <w:pPr>
        <w:pStyle w:val="ListParagraph"/>
        <w:ind w:left="1000"/>
        <w:rPr>
          <w:lang w:val="lt-LT"/>
        </w:rPr>
      </w:pPr>
      <w:r w:rsidRPr="00566BA3">
        <w:rPr>
          <w:lang w:val="lt-LT"/>
        </w:rPr>
        <w:t>2</w:t>
      </w:r>
      <w:r>
        <w:rPr>
          <w:lang w:val="lt-LT"/>
        </w:rPr>
        <w:t xml:space="preserve">.4. </w:t>
      </w:r>
      <w:r w:rsidRPr="00566BA3">
        <w:rPr>
          <w:lang w:val="lt-LT"/>
        </w:rPr>
        <w:t>Baigiamojo darbo vadovas leido arba Komisija nusprendė leisti ginti Baigiamąjį darbą. </w:t>
      </w:r>
    </w:p>
    <w:p w:rsidR="00344838" w:rsidRPr="00566BA3" w:rsidRDefault="00344838" w:rsidP="00344838">
      <w:pPr>
        <w:pStyle w:val="ListParagraph"/>
        <w:numPr>
          <w:ilvl w:val="1"/>
          <w:numId w:val="2"/>
        </w:numPr>
        <w:ind w:left="851" w:hanging="284"/>
        <w:jc w:val="both"/>
        <w:rPr>
          <w:lang w:val="lt-LT"/>
        </w:rPr>
      </w:pPr>
      <w:r w:rsidRPr="00566BA3">
        <w:rPr>
          <w:lang w:val="lt-LT"/>
        </w:rPr>
        <w:t>Baigiamojo studijų proceso veiklų įgyvendinimo formos keičiamos atitinkamai:</w:t>
      </w:r>
    </w:p>
    <w:p w:rsidR="00344838" w:rsidRPr="00566BA3" w:rsidRDefault="00344838" w:rsidP="00344838">
      <w:pPr>
        <w:pStyle w:val="ListParagraph"/>
        <w:numPr>
          <w:ilvl w:val="2"/>
          <w:numId w:val="2"/>
        </w:numPr>
        <w:ind w:left="1418" w:hanging="425"/>
        <w:jc w:val="both"/>
        <w:rPr>
          <w:lang w:val="lt-LT"/>
        </w:rPr>
      </w:pPr>
      <w:r w:rsidRPr="00566BA3">
        <w:rPr>
          <w:lang w:val="lt-LT"/>
        </w:rPr>
        <w:t>Studento prašymas Katedros / Klinikos vadovui dėl leidimo rengti atitinkamos temos Darbą, kai tema nebuvo pasirinkta iki numatyto termino / dėl savo siūlomos Darbo temos / dėl Darbo temos tikslinimo / dėl Darbo rašymo užsienio kalba teikiamas elektroniniu paštu, tik gavus Darbo vadovo sutikimą elektroniniu paštu.</w:t>
      </w:r>
    </w:p>
    <w:p w:rsidR="00344838" w:rsidRPr="00566BA3" w:rsidRDefault="00344838" w:rsidP="00344838">
      <w:pPr>
        <w:pStyle w:val="ListParagraph"/>
        <w:numPr>
          <w:ilvl w:val="2"/>
          <w:numId w:val="3"/>
        </w:numPr>
        <w:ind w:left="1418" w:hanging="425"/>
        <w:jc w:val="both"/>
        <w:rPr>
          <w:lang w:val="lt-LT"/>
        </w:rPr>
      </w:pPr>
      <w:r w:rsidRPr="00566BA3">
        <w:rPr>
          <w:lang w:val="lt-LT"/>
        </w:rPr>
        <w:t>Darbo vadovas konsultuoja studentą Darbo rengimo klausimais. Susirašinėjimas vykdomas dėstytojo nurodytu elektroniniu paštu</w:t>
      </w:r>
      <w:r>
        <w:rPr>
          <w:lang w:val="lt-LT"/>
        </w:rPr>
        <w:t>,</w:t>
      </w:r>
      <w:r w:rsidRPr="00566BA3">
        <w:rPr>
          <w:lang w:val="lt-LT"/>
        </w:rPr>
        <w:t xml:space="preserve"> VMA, MS Teams ar naudojantis kitomis elektroninėmis platformomis.</w:t>
      </w:r>
    </w:p>
    <w:p w:rsidR="00344838" w:rsidRPr="00566BA3" w:rsidRDefault="00344838" w:rsidP="00344838">
      <w:pPr>
        <w:pStyle w:val="ListParagraph"/>
        <w:numPr>
          <w:ilvl w:val="2"/>
          <w:numId w:val="3"/>
        </w:numPr>
        <w:ind w:left="1418" w:hanging="425"/>
        <w:jc w:val="both"/>
        <w:rPr>
          <w:lang w:val="lt-LT"/>
        </w:rPr>
      </w:pPr>
      <w:r w:rsidRPr="00566BA3">
        <w:rPr>
          <w:lang w:val="lt-LT"/>
        </w:rPr>
        <w:t>Parengtą Darbą studentas turi įvesti į Vilniaus universiteto informacinę sistemą ir, jeigu pageidauja Darbo vadovas, atsiųsti jam el. paštu (pdf formatu). Parengtą Darbo kopiją pdf formatu studentas siunčia atitinkamos Katedros / Klinikos administratorei, kuri darbą užregistruoja ir apie tai informuoja studentą el. paštu.</w:t>
      </w:r>
    </w:p>
    <w:p w:rsidR="00344838" w:rsidRPr="00566BA3" w:rsidRDefault="00344838" w:rsidP="00344838">
      <w:pPr>
        <w:pStyle w:val="ListParagraph"/>
        <w:numPr>
          <w:ilvl w:val="2"/>
          <w:numId w:val="3"/>
        </w:numPr>
        <w:ind w:left="1418" w:hanging="425"/>
        <w:jc w:val="both"/>
        <w:rPr>
          <w:lang w:val="lt-LT"/>
        </w:rPr>
      </w:pPr>
      <w:r w:rsidRPr="00566BA3">
        <w:rPr>
          <w:lang w:val="lt-LT"/>
        </w:rPr>
        <w:t>Baigiamasis darbas gali būti ginamas tik Darbo vadovui įvertinus darbo savarankiškumo kompiuterinės patikros ataskaitą ir nusprendus, kad jis yra parengtas savarankiškai ir atitinka keliamus reikalavimus. Vadovas apie sprendimą dėl Darbo tinkamumo jį ginti el. paštu informuoja studentą Universiteto suteiktu el. paštu ir atitinkamos Katedros / Klinikos administratorę.</w:t>
      </w:r>
    </w:p>
    <w:p w:rsidR="00344838" w:rsidRDefault="00344838" w:rsidP="00344838">
      <w:pPr>
        <w:pStyle w:val="ListParagraph"/>
        <w:numPr>
          <w:ilvl w:val="2"/>
          <w:numId w:val="4"/>
        </w:numPr>
        <w:ind w:left="1418" w:hanging="425"/>
        <w:jc w:val="both"/>
        <w:rPr>
          <w:lang w:val="lt-LT"/>
        </w:rPr>
      </w:pPr>
      <w:r>
        <w:rPr>
          <w:lang w:val="lt-LT"/>
        </w:rPr>
        <w:t xml:space="preserve"> </w:t>
      </w:r>
      <w:r w:rsidRPr="00566BA3">
        <w:rPr>
          <w:lang w:val="lt-LT"/>
        </w:rPr>
        <w:t xml:space="preserve">Atspausdinta Garantija prie baigiamojo darbo kontaktinio darbo Vilniaus universitete sustabdymo laikotarpiu nėra teikiama. Studentas Garantijoje numatytą patvirtinimą atsiunčia el. paštu atitinkamos Katedros / Klinikos administratorei, kuri šį laišką prideda prie darbo. </w:t>
      </w:r>
    </w:p>
    <w:p w:rsidR="00344838" w:rsidRPr="00566BA3" w:rsidRDefault="00344838" w:rsidP="00344838">
      <w:pPr>
        <w:pStyle w:val="ListParagraph"/>
        <w:numPr>
          <w:ilvl w:val="3"/>
          <w:numId w:val="4"/>
        </w:numPr>
        <w:ind w:hanging="11"/>
        <w:jc w:val="both"/>
        <w:rPr>
          <w:lang w:val="lt-LT"/>
        </w:rPr>
      </w:pPr>
      <w:r w:rsidRPr="00566BA3">
        <w:rPr>
          <w:lang w:val="lt-LT"/>
        </w:rPr>
        <w:t xml:space="preserve"> El. laiško tekstas:</w:t>
      </w:r>
    </w:p>
    <w:p w:rsidR="00344838" w:rsidRPr="00566BA3" w:rsidRDefault="00344838" w:rsidP="00344838">
      <w:pPr>
        <w:pStyle w:val="ListParagraph"/>
        <w:ind w:left="1365"/>
        <w:jc w:val="both"/>
        <w:rPr>
          <w:i/>
          <w:iCs/>
          <w:lang w:val="lt-LT"/>
        </w:rPr>
      </w:pPr>
      <w:r w:rsidRPr="00566BA3">
        <w:rPr>
          <w:lang w:val="lt-LT"/>
        </w:rPr>
        <w:t xml:space="preserve">„Aš, </w:t>
      </w:r>
      <w:r w:rsidRPr="00566BA3">
        <w:rPr>
          <w:i/>
          <w:iCs/>
          <w:lang w:val="lt-LT"/>
        </w:rPr>
        <w:t>vardas, pavardė,</w:t>
      </w:r>
    </w:p>
    <w:p w:rsidR="00344838" w:rsidRPr="00566BA3" w:rsidRDefault="00344838" w:rsidP="00344838">
      <w:pPr>
        <w:pStyle w:val="ListParagraph"/>
        <w:numPr>
          <w:ilvl w:val="0"/>
          <w:numId w:val="6"/>
        </w:numPr>
        <w:jc w:val="both"/>
        <w:rPr>
          <w:lang w:val="lt-LT"/>
        </w:rPr>
      </w:pPr>
      <w:r w:rsidRPr="00566BA3">
        <w:rPr>
          <w:lang w:val="lt-LT"/>
        </w:rPr>
        <w:t xml:space="preserve">garantuoju, kad mano baigiamasis darbas yra parengtas sąžiningai ir savarankiškai, kitų asmenų indėlio į parengtą darbą nėra. Jokių neteisėtų mokėjimų už šį darbą niekam nesu mokėjęs. Šiame darbe tiesiogiai ar netiesiogiai panaudotos kitų šaltinių citatos yra pažymėtos literatūros nuorodose. </w:t>
      </w:r>
    </w:p>
    <w:p w:rsidR="00344838" w:rsidRPr="00553AD3" w:rsidRDefault="00344838" w:rsidP="00344838">
      <w:pPr>
        <w:pStyle w:val="ListParagraph"/>
        <w:numPr>
          <w:ilvl w:val="0"/>
          <w:numId w:val="6"/>
        </w:numPr>
        <w:jc w:val="both"/>
        <w:rPr>
          <w:lang w:val="lt-LT"/>
        </w:rPr>
      </w:pPr>
      <w:r w:rsidRPr="00566BA3">
        <w:rPr>
          <w:lang w:val="lt-LT"/>
        </w:rPr>
        <w:t xml:space="preserve">patvirtinu, kad baigiamasis darbas yra pateiktas į Vilniaus universiteto studijų informacinę sistemą”. </w:t>
      </w:r>
    </w:p>
    <w:p w:rsidR="00344838" w:rsidRPr="00566BA3" w:rsidRDefault="00344838" w:rsidP="00344838">
      <w:pPr>
        <w:pStyle w:val="ListParagraph"/>
        <w:numPr>
          <w:ilvl w:val="2"/>
          <w:numId w:val="7"/>
        </w:numPr>
        <w:ind w:left="1418" w:hanging="425"/>
        <w:jc w:val="both"/>
        <w:rPr>
          <w:lang w:val="lt-LT"/>
        </w:rPr>
      </w:pPr>
      <w:r w:rsidRPr="00566BA3">
        <w:rPr>
          <w:lang w:val="lt-LT"/>
        </w:rPr>
        <w:t>Raštišką atsiliepimą apie baigiamąjį darbą recenzentas išsiunčia Katedros / Klinikos administratorei likus ne mažiau nei 5 darbo dienoms iki Komisijos posėdžio, kuriame bus ginamas baigiamasis darbas</w:t>
      </w:r>
      <w:r>
        <w:rPr>
          <w:lang w:val="lt-LT"/>
        </w:rPr>
        <w:t>,</w:t>
      </w:r>
      <w:r w:rsidRPr="00566BA3">
        <w:rPr>
          <w:lang w:val="lt-LT"/>
        </w:rPr>
        <w:t xml:space="preserve"> pradžios, o Klinikos / Katedros admi</w:t>
      </w:r>
      <w:r>
        <w:rPr>
          <w:lang w:val="lt-LT"/>
        </w:rPr>
        <w:t>nistratorė recenziją persiunčia</w:t>
      </w:r>
      <w:r w:rsidRPr="00566BA3">
        <w:rPr>
          <w:lang w:val="lt-LT"/>
        </w:rPr>
        <w:t xml:space="preserve"> baigiamąjį darbą besiginančiam studentui Univers</w:t>
      </w:r>
      <w:r>
        <w:rPr>
          <w:lang w:val="lt-LT"/>
        </w:rPr>
        <w:t>iteto suteiktu el. pašto adresu</w:t>
      </w:r>
      <w:r w:rsidRPr="00566BA3">
        <w:rPr>
          <w:lang w:val="lt-LT"/>
        </w:rPr>
        <w:t xml:space="preserve"> likus ne mažiau kaip 3 darbo dienos iki Komisijos posėdžio, kuriame </w:t>
      </w:r>
      <w:r w:rsidRPr="00566BA3">
        <w:rPr>
          <w:lang w:val="lt-LT"/>
        </w:rPr>
        <w:lastRenderedPageBreak/>
        <w:t>bus ginamas darbas, pradžios. Atskiras spausdintas atsiliepimo variantas nėra teikiamas.</w:t>
      </w:r>
    </w:p>
    <w:p w:rsidR="00344838" w:rsidRPr="00566BA3" w:rsidRDefault="00344838" w:rsidP="00344838">
      <w:pPr>
        <w:pStyle w:val="ListParagraph"/>
        <w:numPr>
          <w:ilvl w:val="2"/>
          <w:numId w:val="8"/>
        </w:numPr>
        <w:ind w:left="1418" w:hanging="425"/>
        <w:jc w:val="both"/>
        <w:rPr>
          <w:lang w:val="lt-LT"/>
        </w:rPr>
      </w:pPr>
      <w:r w:rsidRPr="00566BA3">
        <w:rPr>
          <w:lang w:val="lt-LT"/>
        </w:rPr>
        <w:t>Baigiamųjų darbų viešas gynimas vyksta MS Teams platformos pagalba. Tam tikslui platformoje atitinkamų Katedrų / Klinikų administratorės sukuria virtualią komandą, į kurią įtraukiami atitinkamą dieną baigiamąjį darbą ginantys studentai, jų vadovai ir recenzentai bei baigiamųjų Darbų gynimo komisijos nariai. Kiti asmenys, norintys dalyvauti viešame baigiamųjų Darbų gynime, ne vėliau kaip prieš 3 darbo dienas iki atitinkamos dienos baigiamųjų Darbų gynimo turi el. paštu informuoti atitinkamos Katedros / Klinikos administratorę. Norintiems dalyvauti gynime bus suteiktos galimybės prisijungti prie viešo baigiamųjų Darbų gynimo. Esant poreikiui ir siekiant įvertinti technines MS Teams platformos galimybes, gali būti organizuojamas bandomasis prisijungimas prie baigiamųjų darbų gynimo komandos. Dėl tokio poreikio turi būti susisiekiama su atitinkamos Katedros / Klinikos administratore el. paštu. Gynimo procedūra yra įrašoma.</w:t>
      </w:r>
      <w:r w:rsidRPr="00566BA3">
        <w:rPr>
          <w:lang w:val="lt-LT"/>
        </w:rPr>
        <w:tab/>
      </w:r>
    </w:p>
    <w:p w:rsidR="00344838" w:rsidRDefault="00344838" w:rsidP="00344838">
      <w:pPr>
        <w:pStyle w:val="ListParagraph"/>
        <w:numPr>
          <w:ilvl w:val="2"/>
          <w:numId w:val="7"/>
        </w:numPr>
        <w:ind w:left="1418" w:hanging="392"/>
        <w:jc w:val="both"/>
        <w:rPr>
          <w:lang w:val="lt-LT"/>
        </w:rPr>
      </w:pPr>
      <w:r w:rsidRPr="00566BA3">
        <w:rPr>
          <w:lang w:val="lt-LT"/>
        </w:rPr>
        <w:t>Studento prašymas baigiamųjų Darbų komisijai dėl leidimo ginti baigiamąjį Darbą, kai darbo vadovas nusprendžia, kad darbas negintinas / dėl kitos gynimo datos nustatymo teikiamas el. paštu iš jam Universiteto suteikto el. pašto adreso atitinkamos Katedros / Klinikos administratorei.</w:t>
      </w:r>
    </w:p>
    <w:p w:rsidR="00344838" w:rsidRDefault="00344838" w:rsidP="00344838">
      <w:pPr>
        <w:pStyle w:val="ListParagraph"/>
        <w:numPr>
          <w:ilvl w:val="2"/>
          <w:numId w:val="7"/>
        </w:numPr>
        <w:ind w:left="1418" w:hanging="392"/>
        <w:jc w:val="both"/>
        <w:rPr>
          <w:lang w:val="lt-LT"/>
        </w:rPr>
      </w:pPr>
      <w:r w:rsidRPr="00AD498E">
        <w:rPr>
          <w:lang w:val="lt-LT"/>
        </w:rPr>
        <w:t>Baigiamųjų Darbų gynimo įvertinimai skelbiami tik Vilniaus universiteto studijų informacinėje sistemoje.</w:t>
      </w:r>
    </w:p>
    <w:p w:rsidR="00344838" w:rsidRPr="00AD498E" w:rsidRDefault="00344838" w:rsidP="00344838">
      <w:pPr>
        <w:pStyle w:val="ListParagraph"/>
        <w:numPr>
          <w:ilvl w:val="2"/>
          <w:numId w:val="7"/>
        </w:numPr>
        <w:tabs>
          <w:tab w:val="clear" w:pos="6205"/>
          <w:tab w:val="clear" w:pos="1026"/>
          <w:tab w:val="left" w:pos="1026"/>
          <w:tab w:val="left" w:pos="1560"/>
        </w:tabs>
        <w:ind w:left="1418" w:hanging="392"/>
        <w:jc w:val="both"/>
        <w:rPr>
          <w:lang w:val="lt-LT"/>
        </w:rPr>
      </w:pPr>
      <w:r w:rsidRPr="00AD498E">
        <w:rPr>
          <w:lang w:val="lt-LT"/>
        </w:rPr>
        <w:t>Baigiamieji darbai bei su jų rengimu ir gynimu susijusi dokumentacija saugoma Vilniaus universiteto numatytais terminais elektroninėse laikmenose.</w:t>
      </w:r>
    </w:p>
    <w:p w:rsidR="00344838" w:rsidRPr="00566BA3" w:rsidRDefault="00344838" w:rsidP="00344838">
      <w:pPr>
        <w:pStyle w:val="ListParagraph"/>
        <w:tabs>
          <w:tab w:val="left" w:pos="993"/>
        </w:tabs>
        <w:ind w:left="1530"/>
        <w:jc w:val="both"/>
        <w:rPr>
          <w:lang w:val="lt-LT"/>
        </w:rPr>
      </w:pPr>
    </w:p>
    <w:p w:rsidR="00344838" w:rsidRPr="00566BA3" w:rsidRDefault="00344838" w:rsidP="00344838">
      <w:pPr>
        <w:pStyle w:val="BodyA"/>
        <w:tabs>
          <w:tab w:val="left" w:pos="993"/>
        </w:tabs>
        <w:jc w:val="both"/>
      </w:pPr>
    </w:p>
    <w:p w:rsidR="00344838" w:rsidRDefault="00344838" w:rsidP="00344838">
      <w:pPr>
        <w:pStyle w:val="BodyA"/>
        <w:tabs>
          <w:tab w:val="left" w:pos="3969"/>
          <w:tab w:val="right" w:pos="9612"/>
        </w:tabs>
        <w:jc w:val="both"/>
      </w:pPr>
    </w:p>
    <w:p w:rsidR="00344838" w:rsidRPr="00566BA3" w:rsidRDefault="00344838" w:rsidP="00344838">
      <w:pPr>
        <w:pStyle w:val="BodyA"/>
        <w:tabs>
          <w:tab w:val="left" w:pos="720"/>
          <w:tab w:val="center" w:pos="4153"/>
          <w:tab w:val="right" w:pos="8306"/>
        </w:tabs>
        <w:jc w:val="both"/>
      </w:pPr>
    </w:p>
    <w:p w:rsidR="00344838" w:rsidRPr="00566BA3" w:rsidRDefault="00344838" w:rsidP="00344838">
      <w:pPr>
        <w:pStyle w:val="BodyA"/>
        <w:tabs>
          <w:tab w:val="left" w:pos="720"/>
          <w:tab w:val="center" w:pos="4153"/>
          <w:tab w:val="right" w:pos="8306"/>
        </w:tabs>
        <w:jc w:val="both"/>
      </w:pPr>
    </w:p>
    <w:p w:rsidR="00344838" w:rsidRPr="00566BA3" w:rsidRDefault="00344838" w:rsidP="00344838">
      <w:pPr>
        <w:pStyle w:val="BodyA"/>
        <w:tabs>
          <w:tab w:val="left" w:pos="720"/>
          <w:tab w:val="center" w:pos="4153"/>
          <w:tab w:val="right" w:pos="8306"/>
        </w:tabs>
        <w:jc w:val="both"/>
      </w:pPr>
    </w:p>
    <w:p w:rsidR="00344838" w:rsidRPr="00566BA3" w:rsidRDefault="00344838" w:rsidP="00344838">
      <w:pPr>
        <w:pStyle w:val="BodyA"/>
        <w:tabs>
          <w:tab w:val="left" w:pos="720"/>
          <w:tab w:val="center" w:pos="4153"/>
          <w:tab w:val="right" w:pos="8306"/>
        </w:tabs>
        <w:jc w:val="both"/>
      </w:pPr>
    </w:p>
    <w:p w:rsidR="00344838" w:rsidRPr="00566BA3" w:rsidRDefault="00344838" w:rsidP="00344838">
      <w:pPr>
        <w:pStyle w:val="BodyA"/>
        <w:tabs>
          <w:tab w:val="left" w:pos="720"/>
          <w:tab w:val="center" w:pos="4153"/>
          <w:tab w:val="right" w:pos="8306"/>
        </w:tabs>
        <w:jc w:val="both"/>
      </w:pPr>
    </w:p>
    <w:p w:rsidR="00CE71E5" w:rsidRPr="00344838" w:rsidRDefault="006D586D">
      <w:pPr>
        <w:rPr>
          <w:lang w:val="lt-LT"/>
        </w:rPr>
      </w:pPr>
    </w:p>
    <w:sectPr w:rsidR="00CE71E5" w:rsidRPr="00344838">
      <w:headerReference w:type="default" r:id="rId7"/>
      <w:footerReference w:type="default" r:id="rId8"/>
      <w:headerReference w:type="first" r:id="rId9"/>
      <w:footerReference w:type="first" r:id="rId10"/>
      <w:pgSz w:w="11900" w:h="16840"/>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6D" w:rsidRDefault="006D586D">
      <w:r>
        <w:separator/>
      </w:r>
    </w:p>
  </w:endnote>
  <w:endnote w:type="continuationSeparator" w:id="0">
    <w:p w:rsidR="006D586D" w:rsidRDefault="006D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47" w:rsidRDefault="006D586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47" w:rsidRDefault="006D586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6D" w:rsidRDefault="006D586D">
      <w:r>
        <w:separator/>
      </w:r>
    </w:p>
  </w:footnote>
  <w:footnote w:type="continuationSeparator" w:id="0">
    <w:p w:rsidR="006D586D" w:rsidRDefault="006D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47" w:rsidRDefault="00344838">
    <w:pPr>
      <w:pStyle w:val="Header"/>
      <w:tabs>
        <w:tab w:val="clear" w:pos="9638"/>
        <w:tab w:val="right" w:pos="9612"/>
      </w:tabs>
      <w:jc w:val="center"/>
    </w:pPr>
    <w:r>
      <w:fldChar w:fldCharType="begin"/>
    </w:r>
    <w:r>
      <w:instrText xml:space="preserve"> PAGE </w:instrText>
    </w:r>
    <w:r>
      <w:fldChar w:fldCharType="separate"/>
    </w:r>
    <w:r w:rsidR="00F3117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47" w:rsidRDefault="006D586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63A"/>
    <w:multiLevelType w:val="hybridMultilevel"/>
    <w:tmpl w:val="28AE228C"/>
    <w:numStyleLink w:val="ImportedStyle2"/>
  </w:abstractNum>
  <w:abstractNum w:abstractNumId="1">
    <w:nsid w:val="15E35C85"/>
    <w:multiLevelType w:val="hybridMultilevel"/>
    <w:tmpl w:val="28AE228C"/>
    <w:styleLink w:val="ImportedStyle2"/>
    <w:lvl w:ilvl="0" w:tplc="B0D2F3AE">
      <w:start w:val="1"/>
      <w:numFmt w:val="decimal"/>
      <w:lvlText w:val="%1."/>
      <w:lvlJc w:val="left"/>
      <w:pPr>
        <w:ind w:left="17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4D582">
      <w:start w:val="1"/>
      <w:numFmt w:val="lowerLetter"/>
      <w:lvlText w:val="%2."/>
      <w:lvlJc w:val="left"/>
      <w:pPr>
        <w:ind w:left="24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6CEF40">
      <w:start w:val="1"/>
      <w:numFmt w:val="lowerRoman"/>
      <w:lvlText w:val="%3."/>
      <w:lvlJc w:val="left"/>
      <w:pPr>
        <w:ind w:left="316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FED51E">
      <w:start w:val="1"/>
      <w:numFmt w:val="decimal"/>
      <w:lvlText w:val="%4."/>
      <w:lvlJc w:val="left"/>
      <w:pPr>
        <w:ind w:left="38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8E9A6C">
      <w:start w:val="1"/>
      <w:numFmt w:val="lowerLetter"/>
      <w:lvlText w:val="%5."/>
      <w:lvlJc w:val="left"/>
      <w:pPr>
        <w:ind w:left="46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A9F8">
      <w:start w:val="1"/>
      <w:numFmt w:val="lowerRoman"/>
      <w:lvlText w:val="%6."/>
      <w:lvlJc w:val="left"/>
      <w:pPr>
        <w:ind w:left="532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98C528">
      <w:start w:val="1"/>
      <w:numFmt w:val="decimal"/>
      <w:lvlText w:val="%7."/>
      <w:lvlJc w:val="left"/>
      <w:pPr>
        <w:ind w:left="60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88B07E">
      <w:start w:val="1"/>
      <w:numFmt w:val="lowerLetter"/>
      <w:lvlText w:val="%8."/>
      <w:lvlJc w:val="left"/>
      <w:pPr>
        <w:ind w:left="67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E6A8">
      <w:start w:val="1"/>
      <w:numFmt w:val="lowerRoman"/>
      <w:lvlText w:val="%9."/>
      <w:lvlJc w:val="left"/>
      <w:pPr>
        <w:ind w:left="748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B70856"/>
    <w:multiLevelType w:val="multilevel"/>
    <w:tmpl w:val="8FE60410"/>
    <w:styleLink w:val="ImportedStyle1"/>
    <w:lvl w:ilvl="0">
      <w:start w:val="1"/>
      <w:numFmt w:val="decimal"/>
      <w:suff w:val="nothing"/>
      <w:lvlText w:val="%1."/>
      <w:lvlJc w:val="left"/>
      <w:pPr>
        <w:ind w:left="971"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1000"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205"/>
          <w:tab w:val="left" w:pos="1026"/>
        </w:tabs>
        <w:ind w:left="6742"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 w:val="left" w:pos="1026"/>
        </w:tabs>
        <w:ind w:left="2034"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 w:val="left" w:pos="1026"/>
        </w:tabs>
        <w:ind w:left="2538"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 w:val="left" w:pos="1026"/>
        </w:tabs>
        <w:ind w:left="3042"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 w:val="left" w:pos="1026"/>
        </w:tabs>
        <w:ind w:left="2586"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 w:val="left" w:pos="1026"/>
        </w:tabs>
        <w:ind w:left="2946"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 w:val="left" w:pos="1026"/>
        </w:tabs>
        <w:ind w:left="3306"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38F3712"/>
    <w:multiLevelType w:val="multilevel"/>
    <w:tmpl w:val="8FE60410"/>
    <w:numStyleLink w:val="ImportedStyle1"/>
  </w:abstractNum>
  <w:num w:numId="1">
    <w:abstractNumId w:val="2"/>
  </w:num>
  <w:num w:numId="2">
    <w:abstractNumId w:val="3"/>
  </w:num>
  <w:num w:numId="3">
    <w:abstractNumId w:val="3"/>
    <w:lvlOverride w:ilvl="0">
      <w:lvl w:ilvl="0">
        <w:start w:val="1"/>
        <w:numFmt w:val="decimal"/>
        <w:suff w:val="nothing"/>
        <w:lvlText w:val="%1."/>
        <w:lvlJc w:val="left"/>
        <w:pPr>
          <w:ind w:left="971"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000"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365"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869"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373"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877"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421"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781"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141"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start w:val="1"/>
        <w:numFmt w:val="decimal"/>
        <w:suff w:val="nothing"/>
        <w:lvlText w:val="%1."/>
        <w:lvlJc w:val="left"/>
        <w:pPr>
          <w:ind w:left="971"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000"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3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5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2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2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3"/>
    <w:lvlOverride w:ilvl="0">
      <w:lvl w:ilvl="0">
        <w:start w:val="1"/>
        <w:numFmt w:val="decimal"/>
        <w:suff w:val="nothing"/>
        <w:lvlText w:val="%1."/>
        <w:lvlJc w:val="left"/>
        <w:pPr>
          <w:ind w:left="971"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000"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6205"/>
            <w:tab w:val="left" w:pos="1026"/>
          </w:tabs>
          <w:ind w:left="6742"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993"/>
            <w:tab w:val="left" w:pos="1026"/>
          </w:tabs>
          <w:ind w:left="2034"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993"/>
            <w:tab w:val="left" w:pos="1026"/>
          </w:tabs>
          <w:ind w:left="2538"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993"/>
            <w:tab w:val="left" w:pos="1026"/>
          </w:tabs>
          <w:ind w:left="3042"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 w:val="left" w:pos="1026"/>
          </w:tabs>
          <w:ind w:left="2586"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 w:val="left" w:pos="1026"/>
          </w:tabs>
          <w:ind w:left="2946"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 w:val="left" w:pos="1026"/>
          </w:tabs>
          <w:ind w:left="3306"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start w:val="1"/>
        <w:numFmt w:val="decimal"/>
        <w:suff w:val="nothing"/>
        <w:lvlText w:val="%1."/>
        <w:lvlJc w:val="left"/>
        <w:pPr>
          <w:ind w:left="971"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1000"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36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7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8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9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5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91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7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8"/>
    <w:rsid w:val="00344838"/>
    <w:rsid w:val="00547FC4"/>
    <w:rsid w:val="006307A6"/>
    <w:rsid w:val="006D586D"/>
    <w:rsid w:val="00C56F2B"/>
    <w:rsid w:val="00EB6973"/>
    <w:rsid w:val="00F3117B"/>
    <w:rsid w:val="00F6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D0451-4AF4-4E25-B1C0-BF77C618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83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44838"/>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val="en-US" w:eastAsia="lt-LT"/>
    </w:rPr>
  </w:style>
  <w:style w:type="character" w:customStyle="1" w:styleId="HeaderChar">
    <w:name w:val="Header Char"/>
    <w:basedOn w:val="DefaultParagraphFont"/>
    <w:link w:val="Header"/>
    <w:rsid w:val="00344838"/>
    <w:rPr>
      <w:rFonts w:ascii="Times New Roman" w:eastAsia="Arial Unicode MS" w:hAnsi="Times New Roman" w:cs="Arial Unicode MS"/>
      <w:color w:val="000000"/>
      <w:sz w:val="24"/>
      <w:szCs w:val="24"/>
      <w:u w:color="000000"/>
      <w:bdr w:val="nil"/>
      <w:lang w:val="en-US" w:eastAsia="lt-LT"/>
    </w:rPr>
  </w:style>
  <w:style w:type="paragraph" w:customStyle="1" w:styleId="HeaderFooter">
    <w:name w:val="Header &amp; Footer"/>
    <w:rsid w:val="0034483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lt-LT" w:eastAsia="lt-LT"/>
      <w14:textOutline w14:w="0" w14:cap="flat" w14:cmpd="sng" w14:algn="ctr">
        <w14:noFill/>
        <w14:prstDash w14:val="solid"/>
        <w14:bevel/>
      </w14:textOutline>
    </w:rPr>
  </w:style>
  <w:style w:type="paragraph" w:customStyle="1" w:styleId="BodyA">
    <w:name w:val="Body A"/>
    <w:rsid w:val="0034483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lt-LT" w:eastAsia="lt-LT"/>
      <w14:textOutline w14:w="12700" w14:cap="flat" w14:cmpd="sng" w14:algn="ctr">
        <w14:noFill/>
        <w14:prstDash w14:val="solid"/>
        <w14:miter w14:lim="400000"/>
      </w14:textOutline>
    </w:rPr>
  </w:style>
  <w:style w:type="paragraph" w:styleId="ListParagraph">
    <w:name w:val="List Paragraph"/>
    <w:rsid w:val="00344838"/>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lt-LT"/>
    </w:rPr>
  </w:style>
  <w:style w:type="numbering" w:customStyle="1" w:styleId="ImportedStyle1">
    <w:name w:val="Imported Style 1"/>
    <w:rsid w:val="00344838"/>
    <w:pPr>
      <w:numPr>
        <w:numId w:val="1"/>
      </w:numPr>
    </w:pPr>
  </w:style>
  <w:style w:type="numbering" w:customStyle="1" w:styleId="ImportedStyle2">
    <w:name w:val="Imported Style 2"/>
    <w:rsid w:val="0034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Jurgita</cp:lastModifiedBy>
  <cp:revision>4</cp:revision>
  <dcterms:created xsi:type="dcterms:W3CDTF">2020-04-24T06:46:00Z</dcterms:created>
  <dcterms:modified xsi:type="dcterms:W3CDTF">2020-04-24T08:56:00Z</dcterms:modified>
</cp:coreProperties>
</file>