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989D" w14:textId="48A36183" w:rsidR="008311ED" w:rsidRPr="00253AC0" w:rsidRDefault="008311ED" w:rsidP="008311ED">
      <w:pPr>
        <w:pStyle w:val="Default"/>
        <w:ind w:left="393"/>
        <w:jc w:val="center"/>
        <w:rPr>
          <w:rStyle w:val="markedcontent"/>
          <w:rFonts w:ascii="Times New Roman" w:hAnsi="Times New Roman" w:cs="Times New Roman"/>
          <w:b/>
          <w:sz w:val="24"/>
          <w:szCs w:val="24"/>
          <w:lang w:val="en-GB"/>
        </w:rPr>
      </w:pPr>
      <w:r w:rsidRPr="00253AC0">
        <w:rPr>
          <w:rStyle w:val="markedcontent"/>
          <w:rFonts w:ascii="Times New Roman" w:hAnsi="Times New Roman" w:cs="Times New Roman"/>
          <w:b/>
          <w:sz w:val="24"/>
          <w:szCs w:val="24"/>
          <w:lang w:val="en-GB"/>
        </w:rPr>
        <w:t>VILNIUS UNIVERSITY </w:t>
      </w:r>
      <w:r w:rsidR="00253AC0">
        <w:rPr>
          <w:rStyle w:val="markedcontent"/>
          <w:rFonts w:ascii="Times New Roman" w:hAnsi="Times New Roman" w:cs="Times New Roman"/>
          <w:b/>
          <w:sz w:val="24"/>
          <w:szCs w:val="24"/>
          <w:lang w:val="en-GB"/>
        </w:rPr>
        <w:t>FACULTY OF MEDICINE</w:t>
      </w:r>
    </w:p>
    <w:p w14:paraId="153F6F4B" w14:textId="3859EE66" w:rsidR="008311ED" w:rsidRPr="00253AC0" w:rsidRDefault="008311ED" w:rsidP="008311ED">
      <w:pPr>
        <w:pStyle w:val="Default"/>
        <w:ind w:left="393"/>
        <w:jc w:val="center"/>
        <w:rPr>
          <w:rStyle w:val="markedcontent"/>
          <w:rFonts w:ascii="Times New Roman" w:hAnsi="Times New Roman" w:cs="Times New Roman"/>
          <w:b/>
          <w:sz w:val="24"/>
          <w:szCs w:val="24"/>
          <w:lang w:val="en-GB"/>
        </w:rPr>
      </w:pPr>
      <w:r w:rsidRPr="00253AC0">
        <w:rPr>
          <w:rStyle w:val="markedcontent"/>
          <w:rFonts w:ascii="Times New Roman" w:hAnsi="Times New Roman" w:cs="Times New Roman"/>
          <w:b/>
          <w:sz w:val="24"/>
          <w:szCs w:val="24"/>
          <w:lang w:val="en-GB"/>
        </w:rPr>
        <w:t xml:space="preserve">PROCEDURE FOR FINAL EXAMINATIONS </w:t>
      </w:r>
      <w:r w:rsidR="00253AC0">
        <w:rPr>
          <w:rStyle w:val="markedcontent"/>
          <w:rFonts w:ascii="Times New Roman" w:hAnsi="Times New Roman" w:cs="Times New Roman"/>
          <w:b/>
          <w:sz w:val="24"/>
          <w:szCs w:val="24"/>
          <w:lang w:val="en-GB"/>
        </w:rPr>
        <w:t>IN THE STUDY PROGRAMMES</w:t>
      </w:r>
    </w:p>
    <w:p w14:paraId="069EC127" w14:textId="77777777" w:rsidR="008311ED" w:rsidRPr="00253AC0" w:rsidRDefault="008311ED" w:rsidP="00BB7118">
      <w:pPr>
        <w:pStyle w:val="Default"/>
        <w:ind w:left="393"/>
        <w:jc w:val="center"/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</w:pPr>
    </w:p>
    <w:p w14:paraId="62B635B3" w14:textId="55AE8768" w:rsidR="00BB7118" w:rsidRPr="00253AC0" w:rsidRDefault="00253AC0" w:rsidP="00BB7118">
      <w:pPr>
        <w:pStyle w:val="Default"/>
        <w:ind w:left="393"/>
        <w:jc w:val="center"/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</w:pPr>
      <w:r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I.</w:t>
      </w:r>
      <w:r w:rsidR="00BB7118" w:rsidRPr="00253AC0"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 xml:space="preserve"> General provisions </w:t>
      </w:r>
    </w:p>
    <w:p w14:paraId="03370AA5" w14:textId="77777777" w:rsidR="00BB7118" w:rsidRPr="00253AC0" w:rsidRDefault="00BB7118" w:rsidP="00BB7118">
      <w:pPr>
        <w:pStyle w:val="Default"/>
        <w:ind w:left="393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719FFDA8" w14:textId="77777777" w:rsidR="00BB7118" w:rsidRPr="00253AC0" w:rsidRDefault="00BB7118" w:rsidP="00BB7118">
      <w:pPr>
        <w:pStyle w:val="Default"/>
        <w:ind w:left="393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21D30C33" w14:textId="7D9E921A" w:rsidR="00BB7118" w:rsidRPr="00253AC0" w:rsidRDefault="00253AC0" w:rsidP="00BB7118">
      <w:pPr>
        <w:pStyle w:val="Default"/>
        <w:numPr>
          <w:ilvl w:val="0"/>
          <w:numId w:val="1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 P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rocedure for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F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inal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E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xamination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the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Study Programmes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the Faculty of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M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edicine of Vilnius University (hereinafter – the University)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(hereinafter – the Procedure) establishes the procedure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for the organization,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taking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and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assessment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the final examinations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 the study programmes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the Faculty of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M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edicine 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(hereinafter – final examinations), which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apply to the students in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all study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program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mes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the Faculty of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M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edicine. </w:t>
      </w:r>
    </w:p>
    <w:p w14:paraId="3887B5CD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495658EE" w14:textId="3B1FF266" w:rsidR="00BB7118" w:rsidRPr="00253AC0" w:rsidRDefault="00BB7118" w:rsidP="00BB7118">
      <w:pPr>
        <w:pStyle w:val="Default"/>
        <w:numPr>
          <w:ilvl w:val="0"/>
          <w:numId w:val="1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</w:t>
      </w:r>
      <w:r w:rsid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P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rocedure was prepared in accordance with </w:t>
      </w:r>
      <w:r w:rsid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 Vilnius University Study Regulations and the Vilnius University</w:t>
      </w:r>
      <w:r w:rsidR="00253AC0" w:rsidRPr="00253A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253AC0" w:rsidRPr="00253AC0">
        <w:rPr>
          <w:rFonts w:ascii="Times New Roman" w:hAnsi="Times New Roman" w:cs="Times New Roman"/>
          <w:sz w:val="24"/>
          <w:szCs w:val="24"/>
          <w:lang w:val="en-GB"/>
        </w:rPr>
        <w:t>Learning Achievements Assessment Procedure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 </w:t>
      </w:r>
    </w:p>
    <w:p w14:paraId="109E8C0A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2D6F0C7D" w14:textId="072909A2" w:rsidR="00BB7118" w:rsidRPr="00253AC0" w:rsidRDefault="005E601F" w:rsidP="00BB7118">
      <w:pPr>
        <w:pStyle w:val="Default"/>
        <w:numPr>
          <w:ilvl w:val="0"/>
          <w:numId w:val="1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tudent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 are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allowed to take the final exam</w:t>
      </w:r>
      <w:r w:rsid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ination only if they 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complet</w:t>
      </w:r>
      <w:r w:rsid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e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the entire study program</w:t>
      </w:r>
      <w:r w:rsid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me, fulfil 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 obligations stipulated in the study agreement and </w:t>
      </w:r>
      <w:r w:rsid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defend </w:t>
      </w:r>
      <w:r w:rsidR="004A5815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their</w:t>
      </w:r>
      <w:r w:rsidR="004A5815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 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final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thesis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 (if the final exam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ination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takes place 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before the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defence of the 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final thesis the student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are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allowed to defend the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ir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final thesis only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if they pass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the final exam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ination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). </w:t>
      </w:r>
    </w:p>
    <w:p w14:paraId="183EDB5F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3E729BAF" w14:textId="73E998B8" w:rsidR="00BB7118" w:rsidRPr="00253AC0" w:rsidRDefault="00BB7118" w:rsidP="00BB7118">
      <w:pPr>
        <w:pStyle w:val="Default"/>
        <w:numPr>
          <w:ilvl w:val="0"/>
          <w:numId w:val="1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 final examinations shall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be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taken in accordance with this P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rocedure,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 Vilnius University</w:t>
      </w:r>
      <w:r w:rsidR="005E601F" w:rsidRPr="00253A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E601F" w:rsidRPr="00253AC0">
        <w:rPr>
          <w:rFonts w:ascii="Times New Roman" w:hAnsi="Times New Roman" w:cs="Times New Roman"/>
          <w:sz w:val="24"/>
          <w:szCs w:val="24"/>
          <w:lang w:val="en-GB"/>
        </w:rPr>
        <w:t>Learning Achievements Assessment Procedure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,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and the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description of the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course unit “F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ina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l 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xamination”. </w:t>
      </w:r>
    </w:p>
    <w:p w14:paraId="4DCB700D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109676A5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77525C33" w14:textId="4C633104" w:rsidR="00BB7118" w:rsidRPr="00253AC0" w:rsidRDefault="00BB7118" w:rsidP="00BB7118">
      <w:pPr>
        <w:pStyle w:val="Default"/>
        <w:ind w:left="1113"/>
        <w:jc w:val="center"/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 xml:space="preserve">II. Organization and </w:t>
      </w:r>
      <w:r w:rsidR="005E601F"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taking</w:t>
      </w:r>
      <w:r w:rsidRPr="00253AC0"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 xml:space="preserve"> </w:t>
      </w:r>
      <w:r w:rsidR="005E601F"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 xml:space="preserve">the </w:t>
      </w:r>
      <w:r w:rsidRPr="00253AC0"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final examinations</w:t>
      </w:r>
    </w:p>
    <w:p w14:paraId="2DA7FC93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20916A8C" w14:textId="2E03B721" w:rsidR="00BB7118" w:rsidRPr="00253AC0" w:rsidRDefault="00BB7118" w:rsidP="00BB7118">
      <w:pPr>
        <w:pStyle w:val="Default"/>
        <w:numPr>
          <w:ilvl w:val="0"/>
          <w:numId w:val="1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final examination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takes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place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at the scheduled time. </w:t>
      </w:r>
    </w:p>
    <w:p w14:paraId="05B139DB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7B05347D" w14:textId="12C972A9" w:rsidR="00BB7118" w:rsidRPr="00253AC0" w:rsidRDefault="005E601F" w:rsidP="00BB7118">
      <w:pPr>
        <w:pStyle w:val="Default"/>
        <w:numPr>
          <w:ilvl w:val="0"/>
          <w:numId w:val="1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No postponement of the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final examination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is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permitted. </w:t>
      </w:r>
    </w:p>
    <w:p w14:paraId="11BB8684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62242708" w14:textId="5D8A600E" w:rsidR="00BB7118" w:rsidRPr="00253AC0" w:rsidRDefault="00BB7118" w:rsidP="00BB7118">
      <w:pPr>
        <w:pStyle w:val="Default"/>
        <w:numPr>
          <w:ilvl w:val="0"/>
          <w:numId w:val="1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committee</w:t>
      </w:r>
      <w:r w:rsidR="002F3F13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formed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by the order of the Dean </w:t>
      </w:r>
      <w:r w:rsidR="002F3F13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are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responsible for the preparation of the final examination questions/tasks. </w:t>
      </w:r>
    </w:p>
    <w:p w14:paraId="1FFA36C6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5D140DBD" w14:textId="684D36F1" w:rsidR="00BB7118" w:rsidRPr="00253AC0" w:rsidRDefault="00BB7118" w:rsidP="00BB7118">
      <w:pPr>
        <w:pStyle w:val="Default"/>
        <w:numPr>
          <w:ilvl w:val="0"/>
          <w:numId w:val="1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 final examination committee consist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 of at least five members.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At least one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m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ember of the </w:t>
      </w:r>
      <w:r w:rsidR="005E601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committee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must be a representative of the social partners and at least one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m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ember </w:t>
      </w:r>
      <w:r w:rsidR="005E601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must be a representative of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an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other </w:t>
      </w:r>
      <w:r w:rsidR="00D55AE9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external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institution. </w:t>
      </w:r>
    </w:p>
    <w:p w14:paraId="655FF442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2D2A77B2" w14:textId="7F9E264A" w:rsidR="00BB7118" w:rsidRPr="00253AC0" w:rsidRDefault="00BB7118" w:rsidP="00BB7118">
      <w:pPr>
        <w:pStyle w:val="Default"/>
        <w:numPr>
          <w:ilvl w:val="0"/>
          <w:numId w:val="1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At least one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m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ember of the </w:t>
      </w:r>
      <w:r w:rsidR="005E601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committee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per 15 students</w:t>
      </w:r>
      <w:r w:rsidR="005E601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must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be present in the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lecture room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at the time of the examination. The </w:t>
      </w:r>
      <w:r w:rsidR="005E601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committee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shall have the right to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invite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other staff of the Faculty of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M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edicine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to assist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 the supervision of the examination. </w:t>
      </w:r>
    </w:p>
    <w:p w14:paraId="513EBAD5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6E926F0B" w14:textId="24C59330" w:rsidR="00BB7118" w:rsidRPr="00253AC0" w:rsidRDefault="00BB7118" w:rsidP="00BB7118">
      <w:pPr>
        <w:pStyle w:val="Default"/>
        <w:numPr>
          <w:ilvl w:val="0"/>
          <w:numId w:val="1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procedure of the final examination is described in the description of the 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course unit “Final Examination”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, which is approved by the </w:t>
      </w:r>
      <w:r w:rsidR="00AE321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Study P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rogram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me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AE321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ommittee of the </w:t>
      </w:r>
      <w:r w:rsidR="00AE321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relevant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study program</w:t>
      </w:r>
      <w:r w:rsidR="005E60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me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</w:p>
    <w:p w14:paraId="02BAE7E5" w14:textId="77777777" w:rsidR="00BB7118" w:rsidRPr="00253AC0" w:rsidRDefault="00BB7118" w:rsidP="00BB7118">
      <w:pPr>
        <w:pStyle w:val="Default"/>
        <w:ind w:left="393" w:firstLine="60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575EE913" w14:textId="145C43E4" w:rsidR="00BB7118" w:rsidRPr="00253AC0" w:rsidRDefault="00BB7118" w:rsidP="00BB7118">
      <w:pPr>
        <w:pStyle w:val="Default"/>
        <w:numPr>
          <w:ilvl w:val="0"/>
          <w:numId w:val="1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questions </w:t>
      </w:r>
      <w:r w:rsidR="00AE321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of the </w:t>
      </w:r>
      <w:r w:rsidR="00AE3212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final exam</w:t>
      </w:r>
      <w:r w:rsidR="00AE321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ination</w:t>
      </w:r>
      <w:r w:rsidR="00AE3212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held in the spring semester</w:t>
      </w:r>
      <w:r w:rsidR="00AE321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AE3212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must be prepared </w:t>
      </w:r>
      <w:r w:rsidR="00AE321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by 1 March</w:t>
      </w:r>
      <w:r w:rsidR="0069394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and no later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</w:p>
    <w:p w14:paraId="6F20502C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45B0A9C3" w14:textId="78DE7473" w:rsidR="00BB7118" w:rsidRPr="00253AC0" w:rsidRDefault="00BB7118" w:rsidP="00BB7118">
      <w:pPr>
        <w:pStyle w:val="Default"/>
        <w:numPr>
          <w:ilvl w:val="0"/>
          <w:numId w:val="1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lastRenderedPageBreak/>
        <w:t>The final examination</w:t>
      </w:r>
      <w:r w:rsidR="0026138B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7D1126" w:rsidRPr="007D1126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lt-LT"/>
        </w:rPr>
        <w:t>guideliness</w:t>
      </w:r>
      <w:r w:rsidRPr="007D1126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27241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is prepared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or updated in accordance with the final examination assessment strategies (types and number of questions/tasks) provided for in the description </w:t>
      </w:r>
      <w:r w:rsidR="00272411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of the </w:t>
      </w:r>
      <w:r w:rsidR="0027241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course unit “Final Examination”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. The final examination </w:t>
      </w:r>
      <w:r w:rsidRPr="007D1126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program</w:t>
      </w:r>
      <w:r w:rsidR="00272411" w:rsidRPr="007D1126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me</w:t>
      </w:r>
      <w:r w:rsidRPr="007D1126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shall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specify: </w:t>
      </w:r>
    </w:p>
    <w:p w14:paraId="256D6865" w14:textId="32A548B6" w:rsidR="00BB7118" w:rsidRPr="00253AC0" w:rsidRDefault="006735DC" w:rsidP="00AE3212">
      <w:pPr>
        <w:pStyle w:val="Default"/>
        <w:numPr>
          <w:ilvl w:val="1"/>
          <w:numId w:val="2"/>
        </w:numPr>
        <w:ind w:hanging="8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 form in which the examination q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uestions/tasks (or groups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thereof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)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must be </w:t>
      </w:r>
      <w:r w:rsidR="0026138B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provided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to 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students (questions/tasks are drawn, 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are </w:t>
      </w:r>
      <w:r w:rsidR="0026138B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provided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in a test or 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an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other form in a virtual learning environment 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[VLE]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, questions/tasks are 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 same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BE3C26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for</w:t>
      </w:r>
      <w:r w:rsidR="00BE3C26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everyone, etc.) </w:t>
      </w:r>
    </w:p>
    <w:p w14:paraId="714ABA43" w14:textId="71153469" w:rsidR="00BB7118" w:rsidRPr="00253AC0" w:rsidRDefault="00A40BC7" w:rsidP="00AE3212">
      <w:pPr>
        <w:pStyle w:val="Default"/>
        <w:numPr>
          <w:ilvl w:val="1"/>
          <w:numId w:val="2"/>
        </w:numPr>
        <w:ind w:hanging="8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 time allocated for each answer to the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question/task (or group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thereof)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;</w:t>
      </w:r>
    </w:p>
    <w:p w14:paraId="5AD898CB" w14:textId="3E65CF9B" w:rsidR="00BB7118" w:rsidRPr="00253AC0" w:rsidRDefault="00A40BC7" w:rsidP="00AE3212">
      <w:pPr>
        <w:pStyle w:val="Default"/>
        <w:numPr>
          <w:ilvl w:val="1"/>
          <w:numId w:val="2"/>
        </w:numPr>
        <w:ind w:hanging="8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if applicable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, the material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that the students can use during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final examination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or when answering to a 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specific question/task (or group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thereof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) </w:t>
      </w:r>
    </w:p>
    <w:p w14:paraId="426A98B6" w14:textId="7F1AB384" w:rsidR="00BB7118" w:rsidRPr="00253AC0" w:rsidRDefault="006B36CD" w:rsidP="00AE3212">
      <w:pPr>
        <w:pStyle w:val="Default"/>
        <w:numPr>
          <w:ilvl w:val="1"/>
          <w:numId w:val="2"/>
        </w:numPr>
        <w:ind w:hanging="8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topics and sub-topics relevant 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when 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prepar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ing for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the final examination</w:t>
      </w:r>
    </w:p>
    <w:p w14:paraId="0E71465A" w14:textId="09E34184" w:rsidR="00BB7118" w:rsidRPr="00253AC0" w:rsidRDefault="00BB7118" w:rsidP="00AE3212">
      <w:pPr>
        <w:pStyle w:val="Default"/>
        <w:numPr>
          <w:ilvl w:val="1"/>
          <w:numId w:val="2"/>
        </w:numPr>
        <w:ind w:hanging="8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special li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terature and </w:t>
      </w:r>
      <w:r w:rsidR="00B057B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relevant 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practical material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when </w:t>
      </w:r>
      <w:r w:rsidR="00A40BC7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prepar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ing for</w:t>
      </w:r>
      <w:r w:rsidR="00A40BC7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the final examination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 </w:t>
      </w:r>
    </w:p>
    <w:p w14:paraId="2AA4A212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08EA48EF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1EFCBBBD" w14:textId="57054822" w:rsidR="00BB7118" w:rsidRPr="00253AC0" w:rsidRDefault="00BB7118" w:rsidP="00BB7118">
      <w:pPr>
        <w:pStyle w:val="Default"/>
        <w:ind w:left="393"/>
        <w:jc w:val="center"/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 xml:space="preserve">III. </w:t>
      </w:r>
      <w:r w:rsidR="00F5187C"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Assessment of final examinations</w:t>
      </w:r>
      <w:r w:rsidRPr="00253AC0"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 </w:t>
      </w:r>
    </w:p>
    <w:p w14:paraId="60BAFD00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0088E3D0" w14:textId="4E2E56AB" w:rsidR="00BB7118" w:rsidRPr="00253AC0" w:rsidRDefault="00BB7118" w:rsidP="00BB7118">
      <w:pPr>
        <w:pStyle w:val="Default"/>
        <w:numPr>
          <w:ilvl w:val="0"/>
          <w:numId w:val="5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assessment of the final examination 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based on the assessment criteria provided for 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in </w:t>
      </w:r>
      <w:r w:rsidR="00A40BC7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description of the 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course unit “Final Examination”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 </w:t>
      </w:r>
    </w:p>
    <w:p w14:paraId="1E984AE0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537D4293" w14:textId="5A0FFB65" w:rsidR="00BB7118" w:rsidRPr="00253AC0" w:rsidRDefault="00BB7118" w:rsidP="00BB7118">
      <w:pPr>
        <w:pStyle w:val="Default"/>
        <w:numPr>
          <w:ilvl w:val="0"/>
          <w:numId w:val="5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</w:t>
      </w:r>
      <w:r w:rsidR="00CC0416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final e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xamination committee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shall take a decision regarding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final assessment of the examination in a collegial manner. The 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assessment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is lawful if more than half of the members of the </w:t>
      </w:r>
      <w:r w:rsidR="00A40BC7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committee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(including those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participating remotely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) participate in the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assessment.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In the absence of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agreement </w:t>
      </w:r>
      <w:r w:rsidR="00C774DE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on</w:t>
      </w:r>
      <w:r w:rsidR="00C774DE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assessment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, the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committee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shall decide on the final assessment of the question/task (or group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thereof) by voting. T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he decision shall be taken by a simple majority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vote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.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In the event of a tie,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assessment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of the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chairman of the committee shall prevail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. All the members of the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committee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who have assessed the final examination shall sign the minutes of the final examination. </w:t>
      </w:r>
    </w:p>
    <w:p w14:paraId="076FE686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6AEB47B1" w14:textId="5BF026DA" w:rsidR="00BB7118" w:rsidRPr="00253AC0" w:rsidRDefault="00BB7118" w:rsidP="00BB7118">
      <w:pPr>
        <w:pStyle w:val="Default"/>
        <w:numPr>
          <w:ilvl w:val="0"/>
          <w:numId w:val="5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hairman of the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committee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must enter the final assessment of the final examination to </w:t>
      </w:r>
      <w:r w:rsidR="0015527B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Vilnius University Information System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no later than </w:t>
      </w:r>
      <w:r w:rsidR="00D3761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five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business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days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after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the date of the final exam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ination by completing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an electronic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work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sheet. On the da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te when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electronic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examination work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sheet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is completed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,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it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can be printed and signed by the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</w:t>
      </w:r>
      <w:r w:rsidR="00F808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hairman of the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committee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or signe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d in the document management system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. The printed and signed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copy of the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electronic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work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sheet together with the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minutes of the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final exam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ination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are then passed for storage to the person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responsible for the storage of documents in the faculty or </w:t>
      </w:r>
      <w:r w:rsidR="00D3761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it 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shall be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store</w:t>
      </w:r>
      <w:r w:rsidR="00F80818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d in the document management system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 </w:t>
      </w:r>
    </w:p>
    <w:p w14:paraId="5F2A4729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73F8E574" w14:textId="1618E218" w:rsidR="00BB7118" w:rsidRPr="00253AC0" w:rsidRDefault="00BB7118" w:rsidP="00BB7118">
      <w:pPr>
        <w:pStyle w:val="Default"/>
        <w:numPr>
          <w:ilvl w:val="0"/>
          <w:numId w:val="5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 The student can </w:t>
      </w:r>
      <w:r w:rsidR="00D3761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review their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final exam</w:t>
      </w:r>
      <w:r w:rsidR="00B4359A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ination paper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within three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business days after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the publication of the final examination assessment </w:t>
      </w:r>
      <w:r w:rsidR="00D87AF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on</w:t>
      </w:r>
      <w:r w:rsidR="00D87AF0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</w:t>
      </w:r>
      <w:r w:rsidR="00CC0416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ystem in the </w:t>
      </w:r>
      <w:r w:rsidR="00D3761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d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epartment where the final examination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papers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are stored. It is not allowed to copy the final exam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ination paper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and otherwise reproduce it</w:t>
      </w:r>
      <w:r w:rsidR="006920D9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,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6920D9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or</w:t>
      </w:r>
      <w:r w:rsidR="006920D9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take it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from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the viewing room. </w:t>
      </w:r>
    </w:p>
    <w:p w14:paraId="2E87931F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2223C908" w14:textId="0056FE94" w:rsidR="00BB7118" w:rsidRPr="00253AC0" w:rsidRDefault="00BB7118" w:rsidP="00BB7118">
      <w:pPr>
        <w:pStyle w:val="Default"/>
        <w:numPr>
          <w:ilvl w:val="0"/>
          <w:numId w:val="5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 Upon the student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’s request for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feedback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concerning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the assessment of the final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examination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, individual comments on the shortcomings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and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errors 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of the final exam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ination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may be provided by the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hairman of the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committee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at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an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agreed time. The student must apply for feedback no later than three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business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days from the publication of the final examination assessment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6920D9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on</w:t>
      </w:r>
      <w:r w:rsidR="006920D9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</w:t>
      </w:r>
      <w:r w:rsidR="00CC0416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ystem. </w:t>
      </w:r>
    </w:p>
    <w:p w14:paraId="51E3F74B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3192EBB6" w14:textId="695B3F29" w:rsidR="00BB7118" w:rsidRPr="00253AC0" w:rsidRDefault="00BB7118" w:rsidP="00BB7118">
      <w:pPr>
        <w:pStyle w:val="Default"/>
        <w:numPr>
          <w:ilvl w:val="0"/>
          <w:numId w:val="5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 The decision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regarding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final assessment of the examination 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taken by the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committee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shall be final and shall not be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subject to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appeal. Only procedural violations of the final examination</w:t>
      </w:r>
      <w:r w:rsidR="00DB62BE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,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which may have affected the assessment of the final examination</w:t>
      </w:r>
      <w:r w:rsidR="00DB62BE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,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may be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lastRenderedPageBreak/>
        <w:t>appealed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against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.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 this case, t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he student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shall have the right no later than within three business days after the date of the final examination,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to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submit a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reasoned</w:t>
      </w:r>
      <w:r w:rsidR="007A13A5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, written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letter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to the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Dispute Resolution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ommission of the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core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academic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unit. The Dispute Resolution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ommission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shall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no later than within three business days from the submission of the letter</w:t>
      </w:r>
      <w:r w:rsidR="00246DDC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,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assess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whether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any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procedural violations could have had a significant impact on the assessment of the final examination. The procedure for submitting appeals is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specified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in the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r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egulations of the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Dispute Resolution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ommission of the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core 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academic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unit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approved by the Senate. After examining the appeal against possible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violations of the final examination procedure, the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Dispute Resolution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</w:t>
      </w:r>
      <w:r w:rsidR="0081129F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ommission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may annul the </w:t>
      </w:r>
      <w:r w:rsidR="0081129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assessment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the appellant’s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learning achievements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if it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identifies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that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procedural irregularities may have had a significant impact on the assessment of the final examination.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Once the assessment of the learning achievements</w:t>
      </w:r>
      <w:r w:rsidR="00501771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is annulled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, the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Dispute Resolution</w:t>
      </w:r>
      <w:r w:rsidR="00501771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</w:t>
      </w:r>
      <w:r w:rsidR="00501771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ommission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will notify the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Dean </w:t>
      </w:r>
      <w:r w:rsidR="00501771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about its decision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and oblige the Dean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to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form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 committee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for the re-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take of the final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examination. The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retake of the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final examination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shall be organised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no earlier than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five, but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no later than 20 calendar days after the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decision of the Dispute Resolution</w:t>
      </w:r>
      <w:r w:rsidR="00501771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C</w:t>
      </w:r>
      <w:r w:rsidR="00501771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ommission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(</w:t>
      </w:r>
      <w:r w:rsidR="00B1508B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excluding </w:t>
      </w:r>
      <w:r w:rsidR="00CC0416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lecturer/student </w:t>
      </w:r>
      <w:r w:rsidR="00B1508B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holiday periods</w:t>
      </w:r>
      <w:r w:rsidR="00CC0416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).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 </w:t>
      </w:r>
    </w:p>
    <w:p w14:paraId="6C697B6F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25B134C2" w14:textId="6C92E6AD" w:rsidR="00BB7118" w:rsidRPr="00253AC0" w:rsidRDefault="00501771" w:rsidP="00BB7118">
      <w:pPr>
        <w:pStyle w:val="Default"/>
        <w:numPr>
          <w:ilvl w:val="0"/>
          <w:numId w:val="5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 A student who fails to take or fails the 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final exam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ination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is expelled from the U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niversity </w:t>
      </w:r>
      <w:r w:rsidR="00000AB5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based on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academic failure</w:t>
      </w:r>
      <w:r w:rsidR="00BB7118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 </w:t>
      </w:r>
    </w:p>
    <w:p w14:paraId="1A41AB74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645B44B9" w14:textId="6D0731A7" w:rsidR="00BB7118" w:rsidRPr="00253AC0" w:rsidRDefault="00BB7118" w:rsidP="00BB7118">
      <w:pPr>
        <w:pStyle w:val="Default"/>
        <w:numPr>
          <w:ilvl w:val="0"/>
          <w:numId w:val="5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 If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student fails to take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or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fails the </w:t>
      </w:r>
      <w:r w:rsidR="00501771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final exam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ination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, </w:t>
      </w:r>
      <w:r w:rsidR="00D659A6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they</w:t>
      </w:r>
      <w:r w:rsidR="00D659A6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may take or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retake the examination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no earlier than after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one year. </w:t>
      </w:r>
    </w:p>
    <w:p w14:paraId="1C686745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6C4E716B" w14:textId="12D07569" w:rsidR="00BB7118" w:rsidRPr="00253AC0" w:rsidRDefault="00BB7118" w:rsidP="00BB7118">
      <w:pPr>
        <w:pStyle w:val="Default"/>
        <w:numPr>
          <w:ilvl w:val="0"/>
          <w:numId w:val="5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In order to take </w:t>
      </w:r>
      <w:r w:rsidR="0050177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final examination that the student failed to take or failed,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student must submit an application to </w:t>
      </w:r>
      <w:r w:rsidR="002F2A9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the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Dean </w:t>
      </w:r>
      <w:r w:rsidR="002F2A9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regarding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the renewal of studies before the start of the relevant semester.</w:t>
      </w:r>
      <w:r w:rsidR="002F2A9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The final exam</w:t>
      </w:r>
      <w:r w:rsidR="002F2A9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ination or the retake of the final examination shall take place according to the description of the course unit “Final Examination” valid at the time. </w:t>
      </w:r>
    </w:p>
    <w:p w14:paraId="18620E49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04CAB61A" w14:textId="77777777" w:rsidR="00BB7118" w:rsidRPr="00253AC0" w:rsidRDefault="00BB7118" w:rsidP="00BB7118">
      <w:pPr>
        <w:pStyle w:val="Default"/>
        <w:ind w:left="720"/>
        <w:jc w:val="center"/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IV. Final provisions</w:t>
      </w:r>
    </w:p>
    <w:p w14:paraId="6FB8C408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1E4556C7" w14:textId="272AC9D9" w:rsidR="00BB7118" w:rsidRPr="00253AC0" w:rsidRDefault="00BB7118" w:rsidP="00BB7118">
      <w:pPr>
        <w:pStyle w:val="Default"/>
        <w:numPr>
          <w:ilvl w:val="0"/>
          <w:numId w:val="5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 The final examination </w:t>
      </w:r>
      <w:r w:rsidR="002F2A9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papers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are stored for </w:t>
      </w:r>
      <w:r w:rsidR="002F2A9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six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months </w:t>
      </w:r>
      <w:r w:rsidR="002F2A9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by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the </w:t>
      </w:r>
      <w:r w:rsidR="002F2A9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departments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the Faculty of </w:t>
      </w:r>
      <w:r w:rsidR="002F2A9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M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edicine. </w:t>
      </w:r>
    </w:p>
    <w:p w14:paraId="651ECB1C" w14:textId="77777777" w:rsidR="00BB7118" w:rsidRPr="00253AC0" w:rsidRDefault="00BB7118" w:rsidP="00BB7118">
      <w:pPr>
        <w:pStyle w:val="Default"/>
        <w:ind w:left="393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6962E190" w14:textId="0FB7F04A" w:rsidR="00BB7118" w:rsidRPr="00253AC0" w:rsidRDefault="00BB7118" w:rsidP="00BB7118">
      <w:pPr>
        <w:pStyle w:val="Default"/>
        <w:numPr>
          <w:ilvl w:val="0"/>
          <w:numId w:val="5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 If the date provided for in the</w:t>
      </w:r>
      <w:r w:rsidR="008161EE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Procedure 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is a non-</w:t>
      </w:r>
      <w:r w:rsidR="008161EE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business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day, the date of performance of the intended activity shall be the first </w:t>
      </w:r>
      <w:r w:rsidR="008161EE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business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day after the specified day. </w:t>
      </w:r>
    </w:p>
    <w:p w14:paraId="11743CD6" w14:textId="77777777" w:rsidR="00BB7118" w:rsidRPr="00253AC0" w:rsidRDefault="00BB7118" w:rsidP="00BB7118">
      <w:pPr>
        <w:pStyle w:val="Default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</w:p>
    <w:p w14:paraId="334EAA52" w14:textId="0211F0AE" w:rsidR="00BB7118" w:rsidRPr="00253AC0" w:rsidRDefault="00BB7118" w:rsidP="00BB7118">
      <w:pPr>
        <w:pStyle w:val="Default"/>
        <w:numPr>
          <w:ilvl w:val="0"/>
          <w:numId w:val="5"/>
        </w:numPr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 The implementation of the </w:t>
      </w:r>
      <w:r w:rsidR="008161EE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P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rocedure is controlled by the Vice-Dean for studies</w:t>
      </w:r>
      <w:r w:rsidR="008161EE" w:rsidRPr="008161EE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4C5F52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and </w:t>
      </w:r>
      <w:r w:rsidR="008161EE"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authorized</w:t>
      </w:r>
      <w:r w:rsidR="008161EE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by the Dean. The P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rocedure shall take effect from t</w:t>
      </w:r>
      <w:r w:rsidR="008161EE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he date of the decision of the C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ouncil</w:t>
      </w:r>
      <w:r w:rsidR="008161EE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the Faculty of Medicine approving the Procedure</w:t>
      </w:r>
      <w:r w:rsidRPr="00253AC0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</w:p>
    <w:p w14:paraId="6BE8D7B0" w14:textId="77777777" w:rsidR="0006755F" w:rsidRPr="00253AC0" w:rsidRDefault="0006755F">
      <w:pPr>
        <w:rPr>
          <w:rStyle w:val="IntenseEmphasis"/>
          <w:i w:val="0"/>
          <w:color w:val="auto"/>
          <w:lang w:val="en-GB"/>
        </w:rPr>
      </w:pPr>
    </w:p>
    <w:sectPr w:rsidR="0006755F" w:rsidRPr="00253AC0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603F" w14:textId="77777777" w:rsidR="003C76A3" w:rsidRDefault="003C76A3">
      <w:r>
        <w:separator/>
      </w:r>
    </w:p>
  </w:endnote>
  <w:endnote w:type="continuationSeparator" w:id="0">
    <w:p w14:paraId="7E8BBC7B" w14:textId="77777777" w:rsidR="003C76A3" w:rsidRDefault="003C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Malgun Gothic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B03A" w14:textId="77777777" w:rsidR="00755767" w:rsidRDefault="004808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19DF" w14:textId="77777777" w:rsidR="003C76A3" w:rsidRDefault="003C76A3">
      <w:r>
        <w:separator/>
      </w:r>
    </w:p>
  </w:footnote>
  <w:footnote w:type="continuationSeparator" w:id="0">
    <w:p w14:paraId="42C16E52" w14:textId="77777777" w:rsidR="003C76A3" w:rsidRDefault="003C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EC07" w14:textId="77777777" w:rsidR="00755767" w:rsidRDefault="004808B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1558"/>
    <w:multiLevelType w:val="multilevel"/>
    <w:tmpl w:val="0409001F"/>
    <w:numStyleLink w:val="Style1"/>
  </w:abstractNum>
  <w:abstractNum w:abstractNumId="1" w15:restartNumberingAfterBreak="0">
    <w:nsid w:val="532D3E58"/>
    <w:multiLevelType w:val="multilevel"/>
    <w:tmpl w:val="0409001F"/>
    <w:styleLink w:val="Style1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D45471"/>
    <w:multiLevelType w:val="multilevel"/>
    <w:tmpl w:val="D9A40468"/>
    <w:numStyleLink w:val="Style2"/>
  </w:abstractNum>
  <w:abstractNum w:abstractNumId="3" w15:restartNumberingAfterBreak="0">
    <w:nsid w:val="6D507131"/>
    <w:multiLevelType w:val="hybridMultilevel"/>
    <w:tmpl w:val="760E8B0C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 w15:restartNumberingAfterBreak="0">
    <w:nsid w:val="7FA2336E"/>
    <w:multiLevelType w:val="multilevel"/>
    <w:tmpl w:val="D9A40468"/>
    <w:styleLink w:val="Style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118"/>
    <w:rsid w:val="00000AB5"/>
    <w:rsid w:val="0006755F"/>
    <w:rsid w:val="000E30A1"/>
    <w:rsid w:val="00124B11"/>
    <w:rsid w:val="0014037D"/>
    <w:rsid w:val="0015527B"/>
    <w:rsid w:val="00183425"/>
    <w:rsid w:val="00246DDC"/>
    <w:rsid w:val="00253AC0"/>
    <w:rsid w:val="00260053"/>
    <w:rsid w:val="0026138B"/>
    <w:rsid w:val="00272411"/>
    <w:rsid w:val="00290090"/>
    <w:rsid w:val="002934B2"/>
    <w:rsid w:val="002C6D84"/>
    <w:rsid w:val="002F2A92"/>
    <w:rsid w:val="002F3F13"/>
    <w:rsid w:val="003C76A3"/>
    <w:rsid w:val="00433542"/>
    <w:rsid w:val="004578E2"/>
    <w:rsid w:val="004808B9"/>
    <w:rsid w:val="00494F45"/>
    <w:rsid w:val="004A5815"/>
    <w:rsid w:val="004C5F52"/>
    <w:rsid w:val="00501771"/>
    <w:rsid w:val="00530DCD"/>
    <w:rsid w:val="005876DE"/>
    <w:rsid w:val="005C1FE4"/>
    <w:rsid w:val="005E601F"/>
    <w:rsid w:val="00601790"/>
    <w:rsid w:val="00640E3C"/>
    <w:rsid w:val="006735DC"/>
    <w:rsid w:val="006920D9"/>
    <w:rsid w:val="00693941"/>
    <w:rsid w:val="006B36CD"/>
    <w:rsid w:val="006C573B"/>
    <w:rsid w:val="006F2BB0"/>
    <w:rsid w:val="007A13A5"/>
    <w:rsid w:val="007D1126"/>
    <w:rsid w:val="00801A6A"/>
    <w:rsid w:val="0081129F"/>
    <w:rsid w:val="008161EE"/>
    <w:rsid w:val="00821CCD"/>
    <w:rsid w:val="008311ED"/>
    <w:rsid w:val="00983788"/>
    <w:rsid w:val="00A40BC7"/>
    <w:rsid w:val="00AE0844"/>
    <w:rsid w:val="00AE3212"/>
    <w:rsid w:val="00AF707A"/>
    <w:rsid w:val="00B057B0"/>
    <w:rsid w:val="00B1508B"/>
    <w:rsid w:val="00B4359A"/>
    <w:rsid w:val="00B772FC"/>
    <w:rsid w:val="00B87241"/>
    <w:rsid w:val="00BB6243"/>
    <w:rsid w:val="00BB7118"/>
    <w:rsid w:val="00BE3C26"/>
    <w:rsid w:val="00C774DE"/>
    <w:rsid w:val="00CC0416"/>
    <w:rsid w:val="00D37611"/>
    <w:rsid w:val="00D55AE9"/>
    <w:rsid w:val="00D659A6"/>
    <w:rsid w:val="00D87AF0"/>
    <w:rsid w:val="00DB62BE"/>
    <w:rsid w:val="00E74D5D"/>
    <w:rsid w:val="00E96B48"/>
    <w:rsid w:val="00F05C8B"/>
    <w:rsid w:val="00F4171E"/>
    <w:rsid w:val="00F5187C"/>
    <w:rsid w:val="00F553E5"/>
    <w:rsid w:val="00F80818"/>
    <w:rsid w:val="00F8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6658"/>
  <w15:docId w15:val="{E9CC39E4-927A-4D13-893A-17015921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71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BB71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BB71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11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7118"/>
    <w:rPr>
      <w:sz w:val="16"/>
      <w:szCs w:val="16"/>
    </w:rPr>
  </w:style>
  <w:style w:type="numbering" w:customStyle="1" w:styleId="Style1">
    <w:name w:val="Style1"/>
    <w:uiPriority w:val="99"/>
    <w:rsid w:val="00BB7118"/>
    <w:pPr>
      <w:numPr>
        <w:numId w:val="3"/>
      </w:numPr>
    </w:pPr>
  </w:style>
  <w:style w:type="numbering" w:customStyle="1" w:styleId="Style2">
    <w:name w:val="Style2"/>
    <w:uiPriority w:val="99"/>
    <w:rsid w:val="00BB7118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1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118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Strong">
    <w:name w:val="Strong"/>
    <w:basedOn w:val="DefaultParagraphFont"/>
    <w:uiPriority w:val="22"/>
    <w:qFormat/>
    <w:rsid w:val="00BB711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BB7118"/>
    <w:rPr>
      <w:i/>
      <w:iCs/>
      <w:color w:val="5B9BD5" w:themeColor="accent1"/>
    </w:rPr>
  </w:style>
  <w:style w:type="character" w:customStyle="1" w:styleId="markedcontent">
    <w:name w:val="markedcontent"/>
    <w:basedOn w:val="DefaultParagraphFont"/>
    <w:rsid w:val="008311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243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EBD37-15F7-4210-9C1F-865177AC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Asta Bajarūnaitė</cp:lastModifiedBy>
  <cp:revision>10</cp:revision>
  <dcterms:created xsi:type="dcterms:W3CDTF">2022-11-30T11:50:00Z</dcterms:created>
  <dcterms:modified xsi:type="dcterms:W3CDTF">2022-12-23T09:56:00Z</dcterms:modified>
</cp:coreProperties>
</file>