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B509" w14:textId="4B3E354E" w:rsidR="00BC0C92" w:rsidRDefault="005264DE">
      <w:pPr>
        <w:rPr>
          <w:b/>
        </w:rPr>
      </w:pPr>
      <w:r>
        <w:rPr>
          <w:b/>
        </w:rPr>
        <w:t>PROPOSED T</w:t>
      </w:r>
      <w:r w:rsidRPr="00BC0C92">
        <w:rPr>
          <w:b/>
        </w:rPr>
        <w:t>OPIC</w:t>
      </w:r>
      <w:r>
        <w:rPr>
          <w:b/>
        </w:rPr>
        <w:t>S FOR MASTER THESIS</w:t>
      </w:r>
    </w:p>
    <w:p w14:paraId="7C1B086F" w14:textId="721F3B37" w:rsidR="00BC0C92" w:rsidRPr="005264DE" w:rsidRDefault="005264DE">
      <w:r w:rsidRPr="005264DE">
        <w:t xml:space="preserve">Program: </w:t>
      </w:r>
      <w:r w:rsidR="00BC0C92" w:rsidRPr="005264DE">
        <w:t>Systems biology</w:t>
      </w:r>
    </w:p>
    <w:p w14:paraId="3ABE9C97" w14:textId="102E42EC" w:rsidR="005264DE" w:rsidRPr="005264DE" w:rsidRDefault="005264DE">
      <w:r>
        <w:t>Admission</w:t>
      </w:r>
      <w:r w:rsidR="008A2322">
        <w:t xml:space="preserve"> </w:t>
      </w:r>
      <w:r w:rsidRPr="005264DE">
        <w:t>year</w:t>
      </w:r>
      <w:r w:rsidR="008A2322">
        <w:t>:</w:t>
      </w:r>
      <w:r w:rsidRPr="005264DE">
        <w:t xml:space="preserve"> 20</w:t>
      </w:r>
      <w:r w:rsidR="008A2322">
        <w:t>20</w:t>
      </w:r>
    </w:p>
    <w:p w14:paraId="39493380" w14:textId="102258DD" w:rsidR="00BC0C92" w:rsidRPr="005264DE" w:rsidRDefault="005264DE">
      <w:r>
        <w:t xml:space="preserve">Published: </w:t>
      </w:r>
      <w:r w:rsidR="008A2322">
        <w:t>October</w:t>
      </w:r>
      <w:r w:rsidR="00BC0C92" w:rsidRPr="005264DE">
        <w:t>, 2020</w:t>
      </w:r>
    </w:p>
    <w:p w14:paraId="1156F6EC" w14:textId="77777777" w:rsidR="00BC0C92" w:rsidRDefault="00BC0C92"/>
    <w:tbl>
      <w:tblPr>
        <w:tblStyle w:val="TableGrid"/>
        <w:tblW w:w="14454" w:type="dxa"/>
        <w:tblLook w:val="04A0" w:firstRow="1" w:lastRow="0" w:firstColumn="1" w:lastColumn="0" w:noHBand="0" w:noVBand="1"/>
      </w:tblPr>
      <w:tblGrid>
        <w:gridCol w:w="9493"/>
        <w:gridCol w:w="1842"/>
        <w:gridCol w:w="3119"/>
      </w:tblGrid>
      <w:tr w:rsidR="004151AE" w:rsidRPr="00054587" w14:paraId="22EABD14" w14:textId="77777777" w:rsidTr="00054587">
        <w:tc>
          <w:tcPr>
            <w:tcW w:w="9493" w:type="dxa"/>
          </w:tcPr>
          <w:p w14:paraId="531C3D1A" w14:textId="0DD3F90C" w:rsidR="00AE5008" w:rsidRPr="00054587" w:rsidRDefault="00BC0C92">
            <w:pPr>
              <w:rPr>
                <w:rFonts w:cstheme="minorHAnsi"/>
                <w:b/>
                <w:sz w:val="22"/>
                <w:szCs w:val="22"/>
              </w:rPr>
            </w:pPr>
            <w:r w:rsidRPr="00054587">
              <w:rPr>
                <w:rFonts w:cstheme="minorHAnsi"/>
                <w:b/>
                <w:sz w:val="22"/>
                <w:szCs w:val="22"/>
              </w:rPr>
              <w:t>Topic</w:t>
            </w:r>
            <w:r w:rsidR="00AE5008" w:rsidRPr="00054587">
              <w:rPr>
                <w:rFonts w:cstheme="minorHAnsi"/>
                <w:b/>
                <w:sz w:val="22"/>
                <w:szCs w:val="22"/>
              </w:rPr>
              <w:t xml:space="preserve"> with description</w:t>
            </w:r>
          </w:p>
        </w:tc>
        <w:tc>
          <w:tcPr>
            <w:tcW w:w="1842" w:type="dxa"/>
          </w:tcPr>
          <w:p w14:paraId="7D610115" w14:textId="7BC87995" w:rsidR="00AE5008" w:rsidRPr="00054587" w:rsidRDefault="00AE5008">
            <w:pPr>
              <w:rPr>
                <w:rFonts w:cstheme="minorHAnsi"/>
                <w:b/>
                <w:sz w:val="22"/>
                <w:szCs w:val="22"/>
              </w:rPr>
            </w:pPr>
            <w:r w:rsidRPr="00054587">
              <w:rPr>
                <w:rFonts w:cstheme="minorHAnsi"/>
                <w:b/>
                <w:sz w:val="22"/>
                <w:szCs w:val="22"/>
              </w:rPr>
              <w:t>Contact person</w:t>
            </w:r>
          </w:p>
        </w:tc>
        <w:tc>
          <w:tcPr>
            <w:tcW w:w="3119" w:type="dxa"/>
          </w:tcPr>
          <w:p w14:paraId="0D737F63" w14:textId="27871589" w:rsidR="00AE5008" w:rsidRPr="00054587" w:rsidRDefault="00AE5008">
            <w:pPr>
              <w:rPr>
                <w:rFonts w:cstheme="minorHAnsi"/>
                <w:b/>
                <w:sz w:val="22"/>
                <w:szCs w:val="22"/>
              </w:rPr>
            </w:pPr>
            <w:r w:rsidRPr="00054587">
              <w:rPr>
                <w:rFonts w:cstheme="minorHAnsi"/>
                <w:b/>
                <w:sz w:val="22"/>
                <w:szCs w:val="22"/>
              </w:rPr>
              <w:t>Contact email</w:t>
            </w:r>
          </w:p>
        </w:tc>
      </w:tr>
      <w:tr w:rsidR="004151AE" w:rsidRPr="00054587" w14:paraId="3BB6C295" w14:textId="77777777" w:rsidTr="00054587">
        <w:tc>
          <w:tcPr>
            <w:tcW w:w="9493" w:type="dxa"/>
          </w:tcPr>
          <w:p w14:paraId="2211D111" w14:textId="77777777" w:rsidR="00E3512E" w:rsidRPr="00054587" w:rsidRDefault="00E3512E" w:rsidP="00E3512E">
            <w:pPr>
              <w:pStyle w:val="Standard"/>
              <w:rPr>
                <w:rFonts w:asciiTheme="minorHAnsi" w:hAnsiTheme="minorHAnsi" w:cstheme="minorHAnsi"/>
                <w:sz w:val="22"/>
                <w:szCs w:val="22"/>
              </w:rPr>
            </w:pPr>
            <w:r w:rsidRPr="00054587">
              <w:rPr>
                <w:rFonts w:asciiTheme="minorHAnsi" w:hAnsiTheme="minorHAnsi" w:cstheme="minorHAnsi"/>
                <w:b/>
                <w:sz w:val="22"/>
                <w:szCs w:val="22"/>
              </w:rPr>
              <w:t xml:space="preserve">TITLE: DNA  properties of computationally mapped nucleosome positions  </w:t>
            </w:r>
          </w:p>
          <w:p w14:paraId="208E490D" w14:textId="77777777" w:rsidR="00E3512E" w:rsidRPr="00054587" w:rsidRDefault="00E3512E" w:rsidP="00E3512E">
            <w:pPr>
              <w:pStyle w:val="Standard"/>
              <w:rPr>
                <w:rFonts w:asciiTheme="minorHAnsi" w:hAnsiTheme="minorHAnsi" w:cstheme="minorHAnsi"/>
                <w:sz w:val="22"/>
                <w:szCs w:val="22"/>
              </w:rPr>
            </w:pPr>
            <w:r w:rsidRPr="00054587">
              <w:rPr>
                <w:rFonts w:asciiTheme="minorHAnsi" w:hAnsiTheme="minorHAnsi" w:cstheme="minorHAnsi"/>
                <w:sz w:val="22"/>
                <w:szCs w:val="22"/>
              </w:rPr>
              <w:t xml:space="preserve">ABSTRACT. Nucleosome positioning DNA sequence patterns (NPS) - usually distributions of particular dinucleotides or other sequence elements in </w:t>
            </w:r>
            <w:proofErr w:type="spellStart"/>
            <w:r w:rsidRPr="00054587">
              <w:rPr>
                <w:rFonts w:asciiTheme="minorHAnsi" w:hAnsiTheme="minorHAnsi" w:cstheme="minorHAnsi"/>
                <w:sz w:val="22"/>
                <w:szCs w:val="22"/>
              </w:rPr>
              <w:t>nucleosomal</w:t>
            </w:r>
            <w:proofErr w:type="spellEnd"/>
            <w:r w:rsidRPr="00054587">
              <w:rPr>
                <w:rFonts w:asciiTheme="minorHAnsi" w:hAnsiTheme="minorHAnsi" w:cstheme="minorHAnsi"/>
                <w:sz w:val="22"/>
                <w:szCs w:val="22"/>
              </w:rPr>
              <w:t xml:space="preserve"> DNA - at least partially determine chromatin structure and arrangements of nucleosomes that in turn affect gene expression. Statistically, NPS are defined as oscillations of the dinucleotide periodicity with about 10 base pairs (</w:t>
            </w:r>
            <w:proofErr w:type="spellStart"/>
            <w:r w:rsidRPr="00054587">
              <w:rPr>
                <w:rFonts w:asciiTheme="minorHAnsi" w:hAnsiTheme="minorHAnsi" w:cstheme="minorHAnsi"/>
                <w:sz w:val="22"/>
                <w:szCs w:val="22"/>
              </w:rPr>
              <w:t>bp</w:t>
            </w:r>
            <w:proofErr w:type="spellEnd"/>
            <w:r w:rsidRPr="00054587">
              <w:rPr>
                <w:rFonts w:asciiTheme="minorHAnsi" w:hAnsiTheme="minorHAnsi" w:cstheme="minorHAnsi"/>
                <w:sz w:val="22"/>
                <w:szCs w:val="22"/>
              </w:rPr>
              <w:t xml:space="preserve">) which reflects the double helix period. Recently few distinctive patterns in </w:t>
            </w:r>
            <w:proofErr w:type="spellStart"/>
            <w:r w:rsidRPr="00054587">
              <w:rPr>
                <w:rFonts w:asciiTheme="minorHAnsi" w:hAnsiTheme="minorHAnsi" w:cstheme="minorHAnsi"/>
                <w:sz w:val="22"/>
                <w:szCs w:val="22"/>
              </w:rPr>
              <w:t>nucleosomal</w:t>
            </w:r>
            <w:proofErr w:type="spellEnd"/>
            <w:r w:rsidRPr="00054587">
              <w:rPr>
                <w:rFonts w:asciiTheme="minorHAnsi" w:hAnsiTheme="minorHAnsi" w:cstheme="minorHAnsi"/>
                <w:sz w:val="22"/>
                <w:szCs w:val="22"/>
              </w:rPr>
              <w:t xml:space="preserve"> sequences were observed that can be termed as packing and regulatory referring to distinctive modes of chromatin function [1]. Our working hypothesis for the futur</w:t>
            </w:r>
            <w:bookmarkStart w:id="0" w:name="_GoBack"/>
            <w:bookmarkEnd w:id="0"/>
            <w:r w:rsidRPr="00054587">
              <w:rPr>
                <w:rFonts w:asciiTheme="minorHAnsi" w:hAnsiTheme="minorHAnsi" w:cstheme="minorHAnsi"/>
                <w:sz w:val="22"/>
                <w:szCs w:val="22"/>
              </w:rPr>
              <w:t>e studies is that packing patterns tend to be preferred by evolutionary lower organisms and regulatory by higher organisms.  Given vast amount of publicly available nucleosome maps in various organisms [2,3] it is possible investigate computational maps of  nucleosomes at the  regulatory elements of the genomes and characterize</w:t>
            </w:r>
            <w:r w:rsidRPr="00054587">
              <w:rPr>
                <w:rFonts w:asciiTheme="minorHAnsi" w:hAnsiTheme="minorHAnsi" w:cstheme="minorHAnsi"/>
                <w:color w:val="000000"/>
                <w:sz w:val="22"/>
                <w:szCs w:val="22"/>
              </w:rPr>
              <w:t xml:space="preserve"> sequence dependant rigidity and plasticity of DNA at these locations.</w:t>
            </w:r>
          </w:p>
          <w:p w14:paraId="0D954354" w14:textId="77777777" w:rsidR="00E3512E" w:rsidRPr="00054587" w:rsidRDefault="00E3512E" w:rsidP="00E3512E">
            <w:pPr>
              <w:pStyle w:val="Standard"/>
              <w:rPr>
                <w:rFonts w:asciiTheme="minorHAnsi" w:hAnsiTheme="minorHAnsi" w:cstheme="minorHAnsi"/>
                <w:sz w:val="22"/>
                <w:szCs w:val="22"/>
              </w:rPr>
            </w:pPr>
            <w:r w:rsidRPr="00054587">
              <w:rPr>
                <w:rFonts w:asciiTheme="minorHAnsi" w:hAnsiTheme="minorHAnsi" w:cstheme="minorHAnsi"/>
                <w:sz w:val="22"/>
                <w:szCs w:val="22"/>
              </w:rPr>
              <w:t>REFERENCES</w:t>
            </w:r>
          </w:p>
          <w:p w14:paraId="3244AB8F" w14:textId="77777777" w:rsidR="00E3512E" w:rsidRPr="00054587" w:rsidRDefault="00E3512E" w:rsidP="00E3512E">
            <w:pPr>
              <w:pStyle w:val="Standard"/>
              <w:rPr>
                <w:rFonts w:asciiTheme="minorHAnsi" w:hAnsiTheme="minorHAnsi" w:cstheme="minorHAnsi"/>
                <w:sz w:val="22"/>
                <w:szCs w:val="22"/>
              </w:rPr>
            </w:pPr>
            <w:r w:rsidRPr="00054587">
              <w:rPr>
                <w:rFonts w:asciiTheme="minorHAnsi" w:hAnsiTheme="minorHAnsi" w:cstheme="minorHAnsi"/>
                <w:sz w:val="22"/>
                <w:szCs w:val="22"/>
              </w:rPr>
              <w:t>1.</w:t>
            </w:r>
            <w:r w:rsidRPr="00054587">
              <w:rPr>
                <w:rFonts w:asciiTheme="minorHAnsi" w:hAnsiTheme="minorHAnsi" w:cstheme="minorHAnsi"/>
                <w:color w:val="202020"/>
                <w:sz w:val="22"/>
                <w:szCs w:val="22"/>
              </w:rPr>
              <w:t xml:space="preserve">Pranckeviciene E, </w:t>
            </w:r>
            <w:proofErr w:type="spellStart"/>
            <w:r w:rsidRPr="00054587">
              <w:rPr>
                <w:rFonts w:asciiTheme="minorHAnsi" w:hAnsiTheme="minorHAnsi" w:cstheme="minorHAnsi"/>
                <w:color w:val="202020"/>
                <w:sz w:val="22"/>
                <w:szCs w:val="22"/>
              </w:rPr>
              <w:t>Hosid</w:t>
            </w:r>
            <w:proofErr w:type="spellEnd"/>
            <w:r w:rsidRPr="00054587">
              <w:rPr>
                <w:rFonts w:asciiTheme="minorHAnsi" w:hAnsiTheme="minorHAnsi" w:cstheme="minorHAnsi"/>
                <w:color w:val="202020"/>
                <w:sz w:val="22"/>
                <w:szCs w:val="22"/>
              </w:rPr>
              <w:t xml:space="preserve"> S, Liang N, </w:t>
            </w:r>
            <w:proofErr w:type="spellStart"/>
            <w:r w:rsidRPr="00054587">
              <w:rPr>
                <w:rFonts w:asciiTheme="minorHAnsi" w:hAnsiTheme="minorHAnsi" w:cstheme="minorHAnsi"/>
                <w:color w:val="202020"/>
                <w:sz w:val="22"/>
                <w:szCs w:val="22"/>
              </w:rPr>
              <w:t>Ioshikhes</w:t>
            </w:r>
            <w:proofErr w:type="spellEnd"/>
            <w:r w:rsidRPr="00054587">
              <w:rPr>
                <w:rFonts w:asciiTheme="minorHAnsi" w:hAnsiTheme="minorHAnsi" w:cstheme="minorHAnsi"/>
                <w:color w:val="202020"/>
                <w:sz w:val="22"/>
                <w:szCs w:val="22"/>
              </w:rPr>
              <w:t xml:space="preserve"> I (2020) Nucleosome positioning sequence patterns as packing or regulatory. </w:t>
            </w:r>
            <w:proofErr w:type="spellStart"/>
            <w:r w:rsidRPr="00054587">
              <w:rPr>
                <w:rFonts w:asciiTheme="minorHAnsi" w:hAnsiTheme="minorHAnsi" w:cstheme="minorHAnsi"/>
                <w:color w:val="202020"/>
                <w:sz w:val="22"/>
                <w:szCs w:val="22"/>
              </w:rPr>
              <w:t>PLoS</w:t>
            </w:r>
            <w:proofErr w:type="spellEnd"/>
            <w:r w:rsidRPr="00054587">
              <w:rPr>
                <w:rFonts w:asciiTheme="minorHAnsi" w:hAnsiTheme="minorHAnsi" w:cstheme="minorHAnsi"/>
                <w:color w:val="202020"/>
                <w:sz w:val="22"/>
                <w:szCs w:val="22"/>
              </w:rPr>
              <w:t xml:space="preserve"> </w:t>
            </w:r>
            <w:proofErr w:type="spellStart"/>
            <w:r w:rsidRPr="00054587">
              <w:rPr>
                <w:rFonts w:asciiTheme="minorHAnsi" w:hAnsiTheme="minorHAnsi" w:cstheme="minorHAnsi"/>
                <w:color w:val="202020"/>
                <w:sz w:val="22"/>
                <w:szCs w:val="22"/>
              </w:rPr>
              <w:t>Comput</w:t>
            </w:r>
            <w:proofErr w:type="spellEnd"/>
            <w:r w:rsidRPr="00054587">
              <w:rPr>
                <w:rFonts w:asciiTheme="minorHAnsi" w:hAnsiTheme="minorHAnsi" w:cstheme="minorHAnsi"/>
                <w:color w:val="202020"/>
                <w:sz w:val="22"/>
                <w:szCs w:val="22"/>
              </w:rPr>
              <w:t xml:space="preserve"> </w:t>
            </w:r>
            <w:proofErr w:type="spellStart"/>
            <w:r w:rsidRPr="00054587">
              <w:rPr>
                <w:rFonts w:asciiTheme="minorHAnsi" w:hAnsiTheme="minorHAnsi" w:cstheme="minorHAnsi"/>
                <w:color w:val="202020"/>
                <w:sz w:val="22"/>
                <w:szCs w:val="22"/>
              </w:rPr>
              <w:t>Biol</w:t>
            </w:r>
            <w:proofErr w:type="spellEnd"/>
            <w:r w:rsidRPr="00054587">
              <w:rPr>
                <w:rFonts w:asciiTheme="minorHAnsi" w:hAnsiTheme="minorHAnsi" w:cstheme="minorHAnsi"/>
                <w:color w:val="202020"/>
                <w:sz w:val="22"/>
                <w:szCs w:val="22"/>
              </w:rPr>
              <w:t xml:space="preserve"> 16(1): e1007365. https://doi.org/10.1371/journal.pcbi.1007365</w:t>
            </w:r>
          </w:p>
          <w:p w14:paraId="0F764FB7" w14:textId="77777777" w:rsidR="00E3512E" w:rsidRPr="00054587" w:rsidRDefault="00E3512E" w:rsidP="00E3512E">
            <w:pPr>
              <w:pStyle w:val="Standard"/>
              <w:rPr>
                <w:rFonts w:asciiTheme="minorHAnsi" w:hAnsiTheme="minorHAnsi" w:cstheme="minorHAnsi"/>
                <w:sz w:val="22"/>
                <w:szCs w:val="22"/>
              </w:rPr>
            </w:pPr>
            <w:r w:rsidRPr="00054587">
              <w:rPr>
                <w:rFonts w:asciiTheme="minorHAnsi" w:hAnsiTheme="minorHAnsi" w:cstheme="minorHAnsi"/>
                <w:sz w:val="22"/>
                <w:szCs w:val="22"/>
              </w:rPr>
              <w:t xml:space="preserve">2. </w:t>
            </w:r>
            <w:proofErr w:type="spellStart"/>
            <w:r w:rsidRPr="00054587">
              <w:rPr>
                <w:rFonts w:asciiTheme="minorHAnsi" w:hAnsiTheme="minorHAnsi" w:cstheme="minorHAnsi"/>
                <w:sz w:val="22"/>
                <w:szCs w:val="22"/>
              </w:rPr>
              <w:t>Teif</w:t>
            </w:r>
            <w:proofErr w:type="spellEnd"/>
            <w:r w:rsidRPr="00054587">
              <w:rPr>
                <w:rFonts w:asciiTheme="minorHAnsi" w:hAnsiTheme="minorHAnsi" w:cstheme="minorHAnsi"/>
                <w:sz w:val="22"/>
                <w:szCs w:val="22"/>
              </w:rPr>
              <w:t xml:space="preserve"> V.B. (2016). Nucleosome positioning: resources and tools online.  Briefings in Bioinformatics 17, 745-757. [https://generegulation.org/nucleosome-positioning-database/]</w:t>
            </w:r>
          </w:p>
          <w:p w14:paraId="07450B61" w14:textId="59ACFD26" w:rsidR="00AE5008" w:rsidRPr="00054587" w:rsidRDefault="00E3512E" w:rsidP="00E3512E">
            <w:pPr>
              <w:pStyle w:val="Standard"/>
              <w:rPr>
                <w:rFonts w:asciiTheme="minorHAnsi" w:hAnsiTheme="minorHAnsi" w:cstheme="minorHAnsi"/>
                <w:sz w:val="22"/>
                <w:szCs w:val="22"/>
              </w:rPr>
            </w:pPr>
            <w:r w:rsidRPr="00054587">
              <w:rPr>
                <w:rFonts w:asciiTheme="minorHAnsi" w:hAnsiTheme="minorHAnsi" w:cstheme="minorHAnsi"/>
                <w:sz w:val="22"/>
                <w:szCs w:val="22"/>
              </w:rPr>
              <w:t xml:space="preserve">3. </w:t>
            </w:r>
            <w:proofErr w:type="spellStart"/>
            <w:r w:rsidRPr="00054587">
              <w:rPr>
                <w:rFonts w:asciiTheme="minorHAnsi" w:hAnsiTheme="minorHAnsi" w:cstheme="minorHAnsi"/>
                <w:sz w:val="22"/>
                <w:szCs w:val="22"/>
              </w:rPr>
              <w:t>Yongbing</w:t>
            </w:r>
            <w:proofErr w:type="spellEnd"/>
            <w:r w:rsidRPr="00054587">
              <w:rPr>
                <w:rFonts w:asciiTheme="minorHAnsi" w:hAnsiTheme="minorHAnsi" w:cstheme="minorHAnsi"/>
                <w:sz w:val="22"/>
                <w:szCs w:val="22"/>
              </w:rPr>
              <w:t xml:space="preserve"> Zhao et al., </w:t>
            </w:r>
            <w:proofErr w:type="spellStart"/>
            <w:r w:rsidRPr="00054587">
              <w:rPr>
                <w:rFonts w:asciiTheme="minorHAnsi" w:hAnsiTheme="minorHAnsi" w:cstheme="minorHAnsi"/>
                <w:sz w:val="22"/>
                <w:szCs w:val="22"/>
              </w:rPr>
              <w:t>NucMap</w:t>
            </w:r>
            <w:proofErr w:type="spellEnd"/>
            <w:r w:rsidRPr="00054587">
              <w:rPr>
                <w:rFonts w:asciiTheme="minorHAnsi" w:hAnsiTheme="minorHAnsi" w:cstheme="minorHAnsi"/>
                <w:sz w:val="22"/>
                <w:szCs w:val="22"/>
              </w:rPr>
              <w:t>: a database of genome-wide nucleosome positioning map across species, Nucleic Acids Research, Volume 47, Issue D1, 08 January 2019, [https://bigd.big.ac.cn/nucmap/]</w:t>
            </w:r>
          </w:p>
        </w:tc>
        <w:tc>
          <w:tcPr>
            <w:tcW w:w="1842" w:type="dxa"/>
          </w:tcPr>
          <w:p w14:paraId="7ED23651" w14:textId="3B29B703" w:rsidR="00AE5008" w:rsidRPr="00054587" w:rsidRDefault="00AE5008">
            <w:pPr>
              <w:rPr>
                <w:rFonts w:cstheme="minorHAnsi"/>
                <w:sz w:val="22"/>
                <w:szCs w:val="22"/>
                <w:lang w:val="lt-LT"/>
              </w:rPr>
            </w:pPr>
            <w:proofErr w:type="spellStart"/>
            <w:r w:rsidRPr="00054587">
              <w:rPr>
                <w:rFonts w:cstheme="minorHAnsi"/>
                <w:sz w:val="22"/>
                <w:szCs w:val="22"/>
              </w:rPr>
              <w:t>Erinija</w:t>
            </w:r>
            <w:proofErr w:type="spellEnd"/>
            <w:r w:rsidRPr="00054587">
              <w:rPr>
                <w:rFonts w:cstheme="minorHAnsi"/>
                <w:sz w:val="22"/>
                <w:szCs w:val="22"/>
              </w:rPr>
              <w:t xml:space="preserve"> </w:t>
            </w:r>
            <w:proofErr w:type="spellStart"/>
            <w:r w:rsidRPr="00054587">
              <w:rPr>
                <w:rFonts w:cstheme="minorHAnsi"/>
                <w:sz w:val="22"/>
                <w:szCs w:val="22"/>
              </w:rPr>
              <w:t>Pranckevi</w:t>
            </w:r>
            <w:r w:rsidRPr="00054587">
              <w:rPr>
                <w:rFonts w:cstheme="minorHAnsi"/>
                <w:sz w:val="22"/>
                <w:szCs w:val="22"/>
                <w:lang w:val="lt-LT"/>
              </w:rPr>
              <w:t>čienė</w:t>
            </w:r>
            <w:proofErr w:type="spellEnd"/>
          </w:p>
        </w:tc>
        <w:tc>
          <w:tcPr>
            <w:tcW w:w="3119" w:type="dxa"/>
          </w:tcPr>
          <w:p w14:paraId="617AB676" w14:textId="2474F4D6" w:rsidR="00AE5008" w:rsidRPr="00054587" w:rsidRDefault="00AE5008">
            <w:pPr>
              <w:rPr>
                <w:rFonts w:cstheme="minorHAnsi"/>
                <w:sz w:val="22"/>
                <w:szCs w:val="22"/>
              </w:rPr>
            </w:pPr>
            <w:proofErr w:type="spellStart"/>
            <w:r w:rsidRPr="00054587">
              <w:rPr>
                <w:rFonts w:cstheme="minorHAnsi"/>
                <w:sz w:val="22"/>
                <w:szCs w:val="22"/>
              </w:rPr>
              <w:t>erinija.pranckeviciene@mf.vu.lt</w:t>
            </w:r>
            <w:proofErr w:type="spellEnd"/>
          </w:p>
        </w:tc>
      </w:tr>
      <w:tr w:rsidR="004151AE" w:rsidRPr="00054587" w14:paraId="35784E7C" w14:textId="77777777" w:rsidTr="00054587">
        <w:tc>
          <w:tcPr>
            <w:tcW w:w="9493" w:type="dxa"/>
          </w:tcPr>
          <w:p w14:paraId="3FA73F9A" w14:textId="1692EB57" w:rsidR="000F1D4D" w:rsidRPr="00054587" w:rsidRDefault="004F039C" w:rsidP="000F1D4D">
            <w:pPr>
              <w:rPr>
                <w:rFonts w:cstheme="minorHAnsi"/>
                <w:b/>
                <w:color w:val="000000"/>
                <w:sz w:val="22"/>
                <w:szCs w:val="22"/>
              </w:rPr>
            </w:pPr>
            <w:r w:rsidRPr="00054587">
              <w:rPr>
                <w:rFonts w:cstheme="minorHAnsi"/>
                <w:b/>
                <w:color w:val="000000"/>
                <w:sz w:val="22"/>
                <w:szCs w:val="22"/>
              </w:rPr>
              <w:t>TITLE:</w:t>
            </w:r>
            <w:r w:rsidR="000F1D4D" w:rsidRPr="00054587">
              <w:rPr>
                <w:rFonts w:cstheme="minorHAnsi"/>
                <w:b/>
                <w:color w:val="000000"/>
                <w:sz w:val="22"/>
                <w:szCs w:val="22"/>
              </w:rPr>
              <w:t xml:space="preserve"> </w:t>
            </w:r>
            <w:r w:rsidR="000F1D4D" w:rsidRPr="00054587">
              <w:rPr>
                <w:rFonts w:cstheme="minorHAnsi"/>
                <w:b/>
                <w:sz w:val="22"/>
                <w:szCs w:val="22"/>
              </w:rPr>
              <w:t>Estimation of effective population size from distributions of coalescent times</w:t>
            </w:r>
          </w:p>
          <w:p w14:paraId="0E3FD296" w14:textId="77777777" w:rsidR="000F1D4D" w:rsidRPr="00054587" w:rsidRDefault="000F1D4D" w:rsidP="000F1D4D">
            <w:pPr>
              <w:autoSpaceDE w:val="0"/>
              <w:autoSpaceDN w:val="0"/>
              <w:adjustRightInd w:val="0"/>
              <w:jc w:val="both"/>
              <w:rPr>
                <w:rFonts w:cstheme="minorHAnsi"/>
                <w:sz w:val="22"/>
                <w:szCs w:val="22"/>
              </w:rPr>
            </w:pPr>
            <w:r w:rsidRPr="00054587">
              <w:rPr>
                <w:rFonts w:cstheme="minorHAnsi"/>
                <w:sz w:val="22"/>
                <w:szCs w:val="22"/>
              </w:rPr>
              <w:t>The effective population size (</w:t>
            </w:r>
            <w:r w:rsidRPr="00054587">
              <w:rPr>
                <w:rFonts w:cstheme="minorHAnsi"/>
                <w:i/>
                <w:iCs/>
                <w:sz w:val="22"/>
                <w:szCs w:val="22"/>
              </w:rPr>
              <w:t>Ne</w:t>
            </w:r>
            <w:r w:rsidRPr="00054587">
              <w:rPr>
                <w:rFonts w:cstheme="minorHAnsi"/>
                <w:sz w:val="22"/>
                <w:szCs w:val="22"/>
              </w:rPr>
              <w:t>) is one of the most important natural population parameters providing an insight into the demographic history and dynamics of modern human populations through time .</w:t>
            </w:r>
          </w:p>
          <w:p w14:paraId="2CA4CD11" w14:textId="1AE321C3" w:rsidR="000F1D4D" w:rsidRPr="00054587" w:rsidRDefault="000F1D4D" w:rsidP="000F1D4D">
            <w:pPr>
              <w:jc w:val="both"/>
              <w:rPr>
                <w:rFonts w:cstheme="minorHAnsi"/>
                <w:sz w:val="22"/>
                <w:szCs w:val="22"/>
              </w:rPr>
            </w:pPr>
            <w:r w:rsidRPr="00054587">
              <w:rPr>
                <w:rFonts w:cstheme="minorHAnsi"/>
                <w:sz w:val="22"/>
                <w:szCs w:val="22"/>
              </w:rPr>
              <w:t xml:space="preserve">Estimated effective population size as a function of time has many applications, for instance, better understanding of major ecological or historical events’ impact on humans such as glacial periods (Lahr and Foley 2001; </w:t>
            </w:r>
            <w:proofErr w:type="spellStart"/>
            <w:r w:rsidRPr="00054587">
              <w:rPr>
                <w:rFonts w:cstheme="minorHAnsi"/>
                <w:sz w:val="22"/>
                <w:szCs w:val="22"/>
              </w:rPr>
              <w:t>Palkopoulou</w:t>
            </w:r>
            <w:proofErr w:type="spellEnd"/>
            <w:r w:rsidRPr="00054587">
              <w:rPr>
                <w:rFonts w:cstheme="minorHAnsi"/>
                <w:sz w:val="22"/>
                <w:szCs w:val="22"/>
              </w:rPr>
              <w:t xml:space="preserve"> et al. 2013), agricultural shifts or technological advances (</w:t>
            </w:r>
            <w:proofErr w:type="spellStart"/>
            <w:r w:rsidRPr="00054587">
              <w:rPr>
                <w:rFonts w:cstheme="minorHAnsi"/>
                <w:sz w:val="22"/>
                <w:szCs w:val="22"/>
              </w:rPr>
              <w:t>Boserup</w:t>
            </w:r>
            <w:proofErr w:type="spellEnd"/>
            <w:r w:rsidRPr="00054587">
              <w:rPr>
                <w:rFonts w:cstheme="minorHAnsi"/>
                <w:sz w:val="22"/>
                <w:szCs w:val="22"/>
              </w:rPr>
              <w:t xml:space="preserve"> 1981). Knowledge about the demographic history is also important for studies of natural selection in order to avoid spurious finds (Li et al. 2012; Nielsen 2005).</w:t>
            </w:r>
          </w:p>
          <w:p w14:paraId="26F820D8" w14:textId="68FBB1DC" w:rsidR="000F1D4D" w:rsidRPr="00054587" w:rsidRDefault="000F1D4D" w:rsidP="000F1D4D">
            <w:pPr>
              <w:jc w:val="both"/>
              <w:rPr>
                <w:rFonts w:cstheme="minorHAnsi"/>
                <w:sz w:val="22"/>
                <w:szCs w:val="22"/>
              </w:rPr>
            </w:pPr>
            <w:r w:rsidRPr="00054587">
              <w:rPr>
                <w:rFonts w:cstheme="minorHAnsi"/>
                <w:sz w:val="22"/>
                <w:szCs w:val="22"/>
              </w:rPr>
              <w:lastRenderedPageBreak/>
              <w:t xml:space="preserve">Appropriate mathematical models have been developed for different genetic models to estimate </w:t>
            </w:r>
            <w:r w:rsidRPr="00054587">
              <w:rPr>
                <w:rFonts w:cstheme="minorHAnsi"/>
                <w:i/>
                <w:sz w:val="22"/>
                <w:szCs w:val="22"/>
              </w:rPr>
              <w:t>Ne</w:t>
            </w:r>
            <w:r w:rsidRPr="00054587">
              <w:rPr>
                <w:rFonts w:cstheme="minorHAnsi"/>
                <w:sz w:val="22"/>
                <w:szCs w:val="22"/>
              </w:rPr>
              <w:t xml:space="preserve"> from genetic marker data. More recently, methods based on the sequentially Markovian coalescent (</w:t>
            </w:r>
            <w:proofErr w:type="spellStart"/>
            <w:r w:rsidRPr="00054587">
              <w:rPr>
                <w:rFonts w:cstheme="minorHAnsi"/>
                <w:sz w:val="22"/>
                <w:szCs w:val="22"/>
              </w:rPr>
              <w:t>McVean</w:t>
            </w:r>
            <w:proofErr w:type="spellEnd"/>
            <w:r w:rsidRPr="00054587">
              <w:rPr>
                <w:rFonts w:cstheme="minorHAnsi"/>
                <w:sz w:val="22"/>
                <w:szCs w:val="22"/>
              </w:rPr>
              <w:t xml:space="preserve"> and Cardin 2005; Marjoram and Wall 2006), such as PSMC (Li and Durbin 2011), MSMC (</w:t>
            </w:r>
            <w:proofErr w:type="spellStart"/>
            <w:r w:rsidRPr="00054587">
              <w:rPr>
                <w:rFonts w:cstheme="minorHAnsi"/>
                <w:sz w:val="22"/>
                <w:szCs w:val="22"/>
              </w:rPr>
              <w:t>Schiffels</w:t>
            </w:r>
            <w:proofErr w:type="spellEnd"/>
            <w:r w:rsidRPr="00054587">
              <w:rPr>
                <w:rFonts w:cstheme="minorHAnsi"/>
                <w:sz w:val="22"/>
                <w:szCs w:val="22"/>
              </w:rPr>
              <w:t xml:space="preserve"> and Durbin 2013), </w:t>
            </w:r>
            <w:proofErr w:type="spellStart"/>
            <w:r w:rsidRPr="00054587">
              <w:rPr>
                <w:rFonts w:cstheme="minorHAnsi"/>
                <w:sz w:val="22"/>
                <w:szCs w:val="22"/>
              </w:rPr>
              <w:t>DiCal</w:t>
            </w:r>
            <w:proofErr w:type="spellEnd"/>
            <w:r w:rsidRPr="00054587">
              <w:rPr>
                <w:rFonts w:cstheme="minorHAnsi"/>
                <w:sz w:val="22"/>
                <w:szCs w:val="22"/>
              </w:rPr>
              <w:t xml:space="preserve"> (Sheehan et al. 2013) and Bayesian approaches (Palacios et al. 2015) have advanced our ability to infer past population sizes. </w:t>
            </w:r>
          </w:p>
          <w:p w14:paraId="5A087401" w14:textId="1882E5AA" w:rsidR="004151AE" w:rsidRPr="00054587" w:rsidRDefault="000F1D4D" w:rsidP="00B82BE1">
            <w:pPr>
              <w:jc w:val="both"/>
              <w:rPr>
                <w:rFonts w:cstheme="minorHAnsi"/>
                <w:b/>
                <w:sz w:val="22"/>
                <w:szCs w:val="22"/>
              </w:rPr>
            </w:pPr>
            <w:r w:rsidRPr="00054587">
              <w:rPr>
                <w:rFonts w:cstheme="minorHAnsi"/>
                <w:b/>
                <w:sz w:val="22"/>
                <w:szCs w:val="22"/>
              </w:rPr>
              <w:t xml:space="preserve">The main objective of this research proposal </w:t>
            </w:r>
            <w:r w:rsidRPr="00054587">
              <w:rPr>
                <w:rFonts w:cstheme="minorHAnsi"/>
                <w:sz w:val="22"/>
                <w:szCs w:val="22"/>
              </w:rPr>
              <w:t xml:space="preserve">is to </w:t>
            </w:r>
            <w:r w:rsidRPr="00054587">
              <w:rPr>
                <w:rFonts w:eastAsia="CIDFont+F1" w:cstheme="minorHAnsi"/>
                <w:sz w:val="22"/>
                <w:szCs w:val="22"/>
              </w:rPr>
              <w:t>infer the coalescent effective population size from genome-wide SNP genotyping data.</w:t>
            </w:r>
          </w:p>
        </w:tc>
        <w:tc>
          <w:tcPr>
            <w:tcW w:w="1842" w:type="dxa"/>
          </w:tcPr>
          <w:p w14:paraId="11574074" w14:textId="3A7A3BD5" w:rsidR="004151AE" w:rsidRPr="00054587" w:rsidRDefault="00571F46">
            <w:pPr>
              <w:rPr>
                <w:rFonts w:cstheme="minorHAnsi"/>
                <w:sz w:val="22"/>
                <w:szCs w:val="22"/>
              </w:rPr>
            </w:pPr>
            <w:r w:rsidRPr="00054587">
              <w:rPr>
                <w:rFonts w:cstheme="minorHAnsi"/>
                <w:sz w:val="22"/>
                <w:szCs w:val="22"/>
              </w:rPr>
              <w:lastRenderedPageBreak/>
              <w:t xml:space="preserve">Alina </w:t>
            </w:r>
            <w:proofErr w:type="spellStart"/>
            <w:r w:rsidRPr="00054587">
              <w:rPr>
                <w:rFonts w:cstheme="minorHAnsi"/>
                <w:sz w:val="22"/>
                <w:szCs w:val="22"/>
              </w:rPr>
              <w:t>Urnikytė</w:t>
            </w:r>
            <w:proofErr w:type="spellEnd"/>
          </w:p>
        </w:tc>
        <w:tc>
          <w:tcPr>
            <w:tcW w:w="3119" w:type="dxa"/>
          </w:tcPr>
          <w:p w14:paraId="5B505FCE" w14:textId="7D5C8545" w:rsidR="004151AE" w:rsidRPr="00054587" w:rsidRDefault="00571F46">
            <w:pPr>
              <w:rPr>
                <w:rFonts w:cstheme="minorHAnsi"/>
                <w:sz w:val="22"/>
                <w:szCs w:val="22"/>
              </w:rPr>
            </w:pPr>
            <w:proofErr w:type="spellStart"/>
            <w:r w:rsidRPr="00054587">
              <w:rPr>
                <w:rFonts w:cstheme="minorHAnsi"/>
                <w:sz w:val="22"/>
                <w:szCs w:val="22"/>
              </w:rPr>
              <w:t>alina.urnikyte@mf.vu.lt</w:t>
            </w:r>
            <w:proofErr w:type="spellEnd"/>
          </w:p>
        </w:tc>
      </w:tr>
      <w:tr w:rsidR="00451D07" w:rsidRPr="00054587" w14:paraId="39A36FD1" w14:textId="77777777" w:rsidTr="00054587">
        <w:tc>
          <w:tcPr>
            <w:tcW w:w="9493" w:type="dxa"/>
          </w:tcPr>
          <w:p w14:paraId="0B21FCD7" w14:textId="77777777" w:rsidR="00451D07" w:rsidRPr="00054587" w:rsidRDefault="00451D07" w:rsidP="007D46FC">
            <w:pPr>
              <w:rPr>
                <w:rFonts w:cstheme="minorHAnsi"/>
                <w:b/>
                <w:sz w:val="22"/>
                <w:szCs w:val="22"/>
              </w:rPr>
            </w:pPr>
            <w:r w:rsidRPr="00054587">
              <w:rPr>
                <w:rFonts w:cstheme="minorHAnsi"/>
                <w:b/>
                <w:sz w:val="22"/>
                <w:szCs w:val="22"/>
              </w:rPr>
              <w:t>TITLE: Predicting drug treatment response in alcohol use disorder</w:t>
            </w:r>
          </w:p>
          <w:p w14:paraId="31ED6826" w14:textId="77777777" w:rsidR="00451D07" w:rsidRPr="00054587" w:rsidRDefault="00451D07" w:rsidP="007D46FC">
            <w:pPr>
              <w:rPr>
                <w:rFonts w:cstheme="minorHAnsi"/>
                <w:bCs/>
                <w:sz w:val="22"/>
                <w:szCs w:val="22"/>
              </w:rPr>
            </w:pPr>
            <w:r w:rsidRPr="00054587">
              <w:rPr>
                <w:rFonts w:cstheme="minorHAnsi"/>
                <w:bCs/>
                <w:sz w:val="22"/>
                <w:szCs w:val="22"/>
              </w:rPr>
              <w:t>Inter-individual differences between patients with alcohol use disorder (AUD) underlie their different response to drug treatment and are the likely cause for poor treatment efficacy in some of them. The aim of this project is to establish statistical and computational methods for identification of behavioural biomarkers associated with different drinking styles that could be used to predict response to drug treatment in rats and may have a translational value. Data of detailed drinking-related behaviour (drinking frequency and speed, size and amplitude of drinking-bout, interbout interval, daily drinking fluctuations) and specific behavioural differences between rats (depression-like features, locomotor and circadian activity) will be used. Melatonin and lamotrigine are approved for human use to improve sleep quality and mood, respectively, and have been shown to reduce relapse-like alcohol drinking in rats. Neither drug is approved to treat AUD. However, sleep disturbances and low mood are among known predictors of increased alcohol consumption in humans. Our objective is to identify, if certain behavioural characteristics of the rat (depression-like behaviour, impaired circadian activity) would predict effectiveness of melatonin and lamotrigine in reducing alcohol consumption. We will also explore correlates between drinking style and efficacy of these drugs in reducing alcohol intake in rats.</w:t>
            </w:r>
          </w:p>
        </w:tc>
        <w:tc>
          <w:tcPr>
            <w:tcW w:w="1842" w:type="dxa"/>
          </w:tcPr>
          <w:p w14:paraId="7BC13B70" w14:textId="01D5A8D8" w:rsidR="00451D07" w:rsidRPr="00054587" w:rsidRDefault="00451D07" w:rsidP="007D46FC">
            <w:pPr>
              <w:rPr>
                <w:rFonts w:cstheme="minorHAnsi"/>
                <w:sz w:val="22"/>
                <w:szCs w:val="22"/>
                <w:lang w:val="lt-LT"/>
              </w:rPr>
            </w:pPr>
            <w:r w:rsidRPr="00054587">
              <w:rPr>
                <w:rFonts w:cstheme="minorHAnsi"/>
                <w:sz w:val="22"/>
                <w:szCs w:val="22"/>
              </w:rPr>
              <w:t xml:space="preserve">Valentina </w:t>
            </w:r>
            <w:proofErr w:type="spellStart"/>
            <w:r w:rsidRPr="00054587">
              <w:rPr>
                <w:rFonts w:cstheme="minorHAnsi"/>
                <w:sz w:val="22"/>
                <w:szCs w:val="22"/>
              </w:rPr>
              <w:t>Vengelien</w:t>
            </w:r>
            <w:proofErr w:type="spellEnd"/>
            <w:r w:rsidRPr="00054587">
              <w:rPr>
                <w:rFonts w:cstheme="minorHAnsi"/>
                <w:sz w:val="22"/>
                <w:szCs w:val="22"/>
                <w:lang w:val="lt-LT"/>
              </w:rPr>
              <w:t>ė</w:t>
            </w:r>
          </w:p>
        </w:tc>
        <w:tc>
          <w:tcPr>
            <w:tcW w:w="3119" w:type="dxa"/>
          </w:tcPr>
          <w:p w14:paraId="3F123C63" w14:textId="77777777" w:rsidR="00451D07" w:rsidRPr="00054587" w:rsidRDefault="00451D07" w:rsidP="007D46FC">
            <w:pPr>
              <w:pStyle w:val="Heading2"/>
              <w:rPr>
                <w:rFonts w:asciiTheme="minorHAnsi" w:hAnsiTheme="minorHAnsi" w:cstheme="minorHAnsi"/>
                <w:sz w:val="22"/>
                <w:szCs w:val="22"/>
              </w:rPr>
            </w:pPr>
            <w:proofErr w:type="spellStart"/>
            <w:r w:rsidRPr="00054587">
              <w:rPr>
                <w:rFonts w:asciiTheme="minorHAnsi" w:hAnsiTheme="minorHAnsi" w:cstheme="minorHAnsi"/>
                <w:color w:val="auto"/>
                <w:sz w:val="22"/>
                <w:szCs w:val="22"/>
              </w:rPr>
              <w:t>valentina.vengeliene</w:t>
            </w:r>
            <w:proofErr w:type="spellEnd"/>
            <w:r w:rsidRPr="00054587">
              <w:rPr>
                <w:rFonts w:asciiTheme="minorHAnsi" w:hAnsiTheme="minorHAnsi" w:cstheme="minorHAnsi"/>
                <w:color w:val="auto"/>
                <w:sz w:val="22"/>
                <w:szCs w:val="22"/>
                <w:lang w:val="lt-LT"/>
              </w:rPr>
              <w:t>@</w:t>
            </w:r>
            <w:proofErr w:type="spellStart"/>
            <w:r w:rsidRPr="00054587">
              <w:rPr>
                <w:rFonts w:asciiTheme="minorHAnsi" w:hAnsiTheme="minorHAnsi" w:cstheme="minorHAnsi"/>
                <w:color w:val="auto"/>
                <w:sz w:val="22"/>
                <w:szCs w:val="22"/>
              </w:rPr>
              <w:t>gf.vu.lt</w:t>
            </w:r>
            <w:proofErr w:type="spellEnd"/>
          </w:p>
        </w:tc>
      </w:tr>
      <w:tr w:rsidR="000F1D4D" w:rsidRPr="00054587" w14:paraId="72F05DD6" w14:textId="77777777" w:rsidTr="00054587">
        <w:tc>
          <w:tcPr>
            <w:tcW w:w="9493" w:type="dxa"/>
          </w:tcPr>
          <w:p w14:paraId="14FE4C89" w14:textId="77777777" w:rsidR="000F1D4D" w:rsidRPr="00054587" w:rsidRDefault="000F1D4D" w:rsidP="007D46FC">
            <w:pPr>
              <w:pStyle w:val="NormalWeb"/>
              <w:spacing w:before="0" w:beforeAutospacing="0" w:after="0" w:afterAutospacing="0"/>
              <w:rPr>
                <w:rFonts w:asciiTheme="minorHAnsi" w:hAnsiTheme="minorHAnsi" w:cstheme="minorHAnsi"/>
                <w:b/>
                <w:color w:val="000000"/>
                <w:sz w:val="22"/>
                <w:szCs w:val="22"/>
              </w:rPr>
            </w:pPr>
            <w:r w:rsidRPr="00054587">
              <w:rPr>
                <w:rFonts w:asciiTheme="minorHAnsi" w:hAnsiTheme="minorHAnsi" w:cstheme="minorHAnsi"/>
                <w:b/>
                <w:color w:val="000000"/>
                <w:sz w:val="22"/>
                <w:szCs w:val="22"/>
              </w:rPr>
              <w:t>TITLE: Molecular shape similarity in virtual screening for drug discovery</w:t>
            </w:r>
          </w:p>
          <w:p w14:paraId="7ACAD3A5" w14:textId="77777777" w:rsidR="000F1D4D" w:rsidRPr="00054587" w:rsidRDefault="000F1D4D" w:rsidP="007D46FC">
            <w:pPr>
              <w:pStyle w:val="NormalWeb"/>
              <w:spacing w:before="0" w:beforeAutospacing="0" w:after="0" w:afterAutospacing="0"/>
              <w:rPr>
                <w:rFonts w:asciiTheme="minorHAnsi" w:hAnsiTheme="minorHAnsi" w:cstheme="minorHAnsi"/>
                <w:color w:val="000000"/>
                <w:sz w:val="22"/>
                <w:szCs w:val="22"/>
              </w:rPr>
            </w:pPr>
            <w:r w:rsidRPr="00054587">
              <w:rPr>
                <w:rFonts w:asciiTheme="minorHAnsi" w:hAnsiTheme="minorHAnsi" w:cstheme="minorHAnsi"/>
                <w:color w:val="000000"/>
                <w:sz w:val="22"/>
                <w:szCs w:val="22"/>
              </w:rPr>
              <w:t>ABSTRACT. Virtual Screening can drastically accelerate drug discovery processes.</w:t>
            </w:r>
            <w:r w:rsidRPr="00054587">
              <w:rPr>
                <w:rStyle w:val="apple-converted-space"/>
                <w:rFonts w:asciiTheme="minorHAnsi" w:hAnsiTheme="minorHAnsi" w:cstheme="minorHAnsi"/>
                <w:color w:val="000000"/>
                <w:sz w:val="22"/>
                <w:szCs w:val="22"/>
              </w:rPr>
              <w:t> </w:t>
            </w:r>
            <w:r w:rsidRPr="00054587">
              <w:rPr>
                <w:rFonts w:asciiTheme="minorHAnsi" w:hAnsiTheme="minorHAnsi" w:cstheme="minorHAnsi"/>
                <w:color w:val="000000"/>
                <w:sz w:val="22"/>
                <w:szCs w:val="22"/>
              </w:rPr>
              <w:t>Molecular shape similarity is essential in</w:t>
            </w:r>
            <w:r w:rsidRPr="00054587">
              <w:rPr>
                <w:rStyle w:val="apple-converted-space"/>
                <w:rFonts w:asciiTheme="minorHAnsi" w:hAnsiTheme="minorHAnsi" w:cstheme="minorHAnsi"/>
                <w:color w:val="000000"/>
                <w:sz w:val="22"/>
                <w:szCs w:val="22"/>
              </w:rPr>
              <w:t> </w:t>
            </w:r>
            <w:r w:rsidRPr="00054587">
              <w:rPr>
                <w:rFonts w:asciiTheme="minorHAnsi" w:hAnsiTheme="minorHAnsi" w:cstheme="minorHAnsi"/>
                <w:color w:val="000000"/>
                <w:sz w:val="22"/>
                <w:szCs w:val="22"/>
              </w:rPr>
              <w:t>virtual screening for drug discovery. Shape similarity is used to compare in detail the shape of a query molecule against a large database of potential drug compounds. In order to evaluate shape similarity accurately the molecules should be optimally adjusted. In this work, optimization problems for molecular shape similarity are investigated aiming at fast solution and acceptable accuracy.</w:t>
            </w:r>
          </w:p>
        </w:tc>
        <w:tc>
          <w:tcPr>
            <w:tcW w:w="1842" w:type="dxa"/>
          </w:tcPr>
          <w:p w14:paraId="522663C4" w14:textId="77777777" w:rsidR="000F1D4D" w:rsidRPr="00054587" w:rsidRDefault="000F1D4D" w:rsidP="007D46FC">
            <w:pPr>
              <w:rPr>
                <w:rFonts w:cstheme="minorHAnsi"/>
                <w:sz w:val="22"/>
                <w:szCs w:val="22"/>
                <w:lang w:val="lt-LT"/>
              </w:rPr>
            </w:pPr>
            <w:r w:rsidRPr="00054587">
              <w:rPr>
                <w:rFonts w:cstheme="minorHAnsi"/>
                <w:sz w:val="22"/>
                <w:szCs w:val="22"/>
              </w:rPr>
              <w:t xml:space="preserve">Julius </w:t>
            </w:r>
            <w:r w:rsidRPr="00054587">
              <w:rPr>
                <w:rFonts w:cstheme="minorHAnsi"/>
                <w:sz w:val="22"/>
                <w:szCs w:val="22"/>
                <w:lang w:val="lt-LT"/>
              </w:rPr>
              <w:t>Žilinskas</w:t>
            </w:r>
          </w:p>
        </w:tc>
        <w:tc>
          <w:tcPr>
            <w:tcW w:w="3119" w:type="dxa"/>
          </w:tcPr>
          <w:p w14:paraId="25CE35BD" w14:textId="77777777" w:rsidR="000F1D4D" w:rsidRPr="00054587" w:rsidRDefault="000F1D4D" w:rsidP="007D46FC">
            <w:pPr>
              <w:rPr>
                <w:rFonts w:cstheme="minorHAnsi"/>
                <w:sz w:val="22"/>
                <w:szCs w:val="22"/>
              </w:rPr>
            </w:pPr>
            <w:proofErr w:type="spellStart"/>
            <w:r w:rsidRPr="00054587">
              <w:rPr>
                <w:rFonts w:cstheme="minorHAnsi"/>
                <w:sz w:val="22"/>
                <w:szCs w:val="22"/>
              </w:rPr>
              <w:t>julius.zilinskas@mif.vu.lt</w:t>
            </w:r>
            <w:proofErr w:type="spellEnd"/>
          </w:p>
        </w:tc>
      </w:tr>
      <w:tr w:rsidR="00C41C0D" w:rsidRPr="00054587" w14:paraId="4D283648" w14:textId="77777777" w:rsidTr="00054587">
        <w:tc>
          <w:tcPr>
            <w:tcW w:w="9493" w:type="dxa"/>
          </w:tcPr>
          <w:p w14:paraId="51AFDF4C" w14:textId="77777777" w:rsidR="00C41C0D" w:rsidRPr="00054587" w:rsidRDefault="00C41C0D" w:rsidP="00C41C0D">
            <w:pPr>
              <w:rPr>
                <w:rFonts w:cstheme="minorHAnsi"/>
                <w:color w:val="000000"/>
                <w:sz w:val="22"/>
                <w:szCs w:val="22"/>
              </w:rPr>
            </w:pPr>
            <w:r w:rsidRPr="00054587">
              <w:rPr>
                <w:rFonts w:cstheme="minorHAnsi"/>
                <w:b/>
                <w:bCs/>
                <w:color w:val="000000"/>
                <w:sz w:val="22"/>
                <w:szCs w:val="22"/>
              </w:rPr>
              <w:t>TITLE: Application of Deep Neural Networks for Eye Fundus Image Analysis</w:t>
            </w:r>
          </w:p>
          <w:p w14:paraId="0CBC7ECF" w14:textId="61123B84" w:rsidR="00C41C0D" w:rsidRPr="00054587" w:rsidRDefault="00C41C0D" w:rsidP="004F039C">
            <w:pPr>
              <w:rPr>
                <w:rFonts w:cstheme="minorHAnsi"/>
                <w:color w:val="000000"/>
                <w:sz w:val="22"/>
                <w:szCs w:val="22"/>
              </w:rPr>
            </w:pPr>
            <w:r w:rsidRPr="00054587">
              <w:rPr>
                <w:rFonts w:cstheme="minorHAnsi"/>
                <w:color w:val="000000"/>
                <w:sz w:val="22"/>
                <w:szCs w:val="22"/>
              </w:rPr>
              <w:t xml:space="preserve">ABSTRACT: Aim of the study is to develop workflow for the eye fundus images analysis with the view to detect various anatomical changes. Early detection of the changes can indicate and even prevent such diseases as diabetes, glaucoma, cataract and etc. The images of known structure changes will be available as well as the consultations with the skilled ophthalmologist. Proposed solution has to be built on deep neural network application and tested. Students selecting the theme will face the Python as a primary programming language that will utilize the </w:t>
            </w:r>
            <w:proofErr w:type="spellStart"/>
            <w:r w:rsidRPr="00054587">
              <w:rPr>
                <w:rFonts w:cstheme="minorHAnsi"/>
                <w:color w:val="000000"/>
                <w:sz w:val="22"/>
                <w:szCs w:val="22"/>
              </w:rPr>
              <w:t>Keras</w:t>
            </w:r>
            <w:proofErr w:type="spellEnd"/>
            <w:r w:rsidRPr="00054587">
              <w:rPr>
                <w:rFonts w:cstheme="minorHAnsi"/>
                <w:color w:val="000000"/>
                <w:sz w:val="22"/>
                <w:szCs w:val="22"/>
              </w:rPr>
              <w:t xml:space="preserve"> and </w:t>
            </w:r>
            <w:proofErr w:type="spellStart"/>
            <w:r w:rsidRPr="00054587">
              <w:rPr>
                <w:rFonts w:cstheme="minorHAnsi"/>
                <w:color w:val="000000"/>
                <w:sz w:val="22"/>
                <w:szCs w:val="22"/>
              </w:rPr>
              <w:t>Tensorflow</w:t>
            </w:r>
            <w:proofErr w:type="spellEnd"/>
            <w:r w:rsidRPr="00054587">
              <w:rPr>
                <w:rFonts w:cstheme="minorHAnsi"/>
                <w:color w:val="000000"/>
                <w:sz w:val="22"/>
                <w:szCs w:val="22"/>
              </w:rPr>
              <w:t xml:space="preserve"> frameworks as those mostly </w:t>
            </w:r>
            <w:r w:rsidRPr="00054587">
              <w:rPr>
                <w:rFonts w:cstheme="minorHAnsi"/>
                <w:color w:val="000000"/>
                <w:sz w:val="22"/>
                <w:szCs w:val="22"/>
              </w:rPr>
              <w:lastRenderedPageBreak/>
              <w:t>used tools for deep neural network application with the strong community support. The student should have strong motivation to learn new skills all other knowledge will be acquired during the master study.</w:t>
            </w:r>
          </w:p>
        </w:tc>
        <w:tc>
          <w:tcPr>
            <w:tcW w:w="1842" w:type="dxa"/>
          </w:tcPr>
          <w:p w14:paraId="36597384" w14:textId="1E19939C" w:rsidR="00C41C0D" w:rsidRPr="00054587" w:rsidRDefault="000F1D4D">
            <w:pPr>
              <w:rPr>
                <w:rFonts w:cstheme="minorHAnsi"/>
                <w:sz w:val="22"/>
                <w:szCs w:val="22"/>
              </w:rPr>
            </w:pPr>
            <w:proofErr w:type="spellStart"/>
            <w:r w:rsidRPr="00054587">
              <w:rPr>
                <w:rFonts w:cstheme="minorHAnsi"/>
                <w:color w:val="000000"/>
                <w:sz w:val="22"/>
                <w:szCs w:val="22"/>
              </w:rPr>
              <w:lastRenderedPageBreak/>
              <w:t>Jolita</w:t>
            </w:r>
            <w:proofErr w:type="spellEnd"/>
            <w:r w:rsidRPr="00054587">
              <w:rPr>
                <w:rFonts w:cstheme="minorHAnsi"/>
                <w:color w:val="000000"/>
                <w:sz w:val="22"/>
                <w:szCs w:val="22"/>
              </w:rPr>
              <w:t xml:space="preserve"> </w:t>
            </w:r>
            <w:proofErr w:type="spellStart"/>
            <w:r w:rsidRPr="00054587">
              <w:rPr>
                <w:rFonts w:cstheme="minorHAnsi"/>
                <w:color w:val="000000"/>
                <w:sz w:val="22"/>
                <w:szCs w:val="22"/>
              </w:rPr>
              <w:t>Bernatavičienė</w:t>
            </w:r>
            <w:proofErr w:type="spellEnd"/>
          </w:p>
        </w:tc>
        <w:tc>
          <w:tcPr>
            <w:tcW w:w="3119" w:type="dxa"/>
          </w:tcPr>
          <w:p w14:paraId="5BA420BA" w14:textId="4075934D" w:rsidR="00C41C0D" w:rsidRPr="00054587" w:rsidRDefault="000F1D4D" w:rsidP="00C41C0D">
            <w:pPr>
              <w:rPr>
                <w:rFonts w:cstheme="minorHAnsi"/>
                <w:sz w:val="22"/>
                <w:szCs w:val="22"/>
              </w:rPr>
            </w:pPr>
            <w:proofErr w:type="spellStart"/>
            <w:r w:rsidRPr="00054587">
              <w:rPr>
                <w:rFonts w:cstheme="minorHAnsi"/>
                <w:color w:val="000000"/>
                <w:sz w:val="22"/>
                <w:szCs w:val="22"/>
              </w:rPr>
              <w:t>jolita.bernataviciene</w:t>
            </w:r>
            <w:r w:rsidR="00C41C0D" w:rsidRPr="00054587">
              <w:rPr>
                <w:rFonts w:cstheme="minorHAnsi"/>
                <w:color w:val="000000"/>
                <w:sz w:val="22"/>
                <w:szCs w:val="22"/>
              </w:rPr>
              <w:t>@mif.vu.lt</w:t>
            </w:r>
            <w:proofErr w:type="spellEnd"/>
          </w:p>
          <w:p w14:paraId="20B14EC9" w14:textId="77777777" w:rsidR="00C41C0D" w:rsidRPr="00054587" w:rsidRDefault="00C41C0D">
            <w:pPr>
              <w:rPr>
                <w:rFonts w:cstheme="minorHAnsi"/>
                <w:sz w:val="22"/>
                <w:szCs w:val="22"/>
              </w:rPr>
            </w:pPr>
          </w:p>
        </w:tc>
      </w:tr>
      <w:tr w:rsidR="00DE6D06" w:rsidRPr="00054587" w14:paraId="0A35850A" w14:textId="77777777" w:rsidTr="00054587">
        <w:tc>
          <w:tcPr>
            <w:tcW w:w="9493" w:type="dxa"/>
          </w:tcPr>
          <w:p w14:paraId="3C18611D" w14:textId="2A5D53E7" w:rsidR="00DE6D06" w:rsidRPr="00054587" w:rsidRDefault="00DE6D06" w:rsidP="00DE6D06">
            <w:pPr>
              <w:rPr>
                <w:b/>
                <w:bCs/>
                <w:sz w:val="22"/>
                <w:szCs w:val="22"/>
              </w:rPr>
            </w:pPr>
            <w:r w:rsidRPr="00054587">
              <w:rPr>
                <w:b/>
                <w:bCs/>
                <w:sz w:val="22"/>
                <w:szCs w:val="22"/>
              </w:rPr>
              <w:t xml:space="preserve">TITLE: </w:t>
            </w:r>
            <w:r w:rsidRPr="00054587">
              <w:rPr>
                <w:b/>
                <w:bCs/>
                <w:sz w:val="22"/>
                <w:szCs w:val="22"/>
              </w:rPr>
              <w:t>Applying ANN and machine learning for crystal property prediction</w:t>
            </w:r>
          </w:p>
          <w:p w14:paraId="7C977499" w14:textId="1A50FE6F" w:rsidR="00DE6D06" w:rsidRPr="00054587" w:rsidRDefault="00DE6D06" w:rsidP="00DE6D06">
            <w:pPr>
              <w:rPr>
                <w:rFonts w:cstheme="minorHAnsi"/>
                <w:b/>
                <w:bCs/>
                <w:color w:val="000000"/>
                <w:sz w:val="22"/>
                <w:szCs w:val="22"/>
              </w:rPr>
            </w:pPr>
            <w:r w:rsidRPr="00054587">
              <w:rPr>
                <w:sz w:val="22"/>
                <w:szCs w:val="22"/>
              </w:rPr>
              <w:t>ABSTRACT</w:t>
            </w:r>
            <w:r w:rsidRPr="00054587">
              <w:rPr>
                <w:sz w:val="22"/>
                <w:szCs w:val="22"/>
              </w:rPr>
              <w:t xml:space="preserve">: Modern methods of machine learning allow to detect latent features and regularities in large amounts of data which were formerly inaccessible for automated analysis. The Crystallography Open Database (COD, </w:t>
            </w:r>
            <w:hyperlink r:id="rId4">
              <w:r w:rsidRPr="00054587">
                <w:rPr>
                  <w:rStyle w:val="InternetLink"/>
                  <w:sz w:val="22"/>
                  <w:szCs w:val="22"/>
                  <w:lang w:val="lt-LT"/>
                </w:rPr>
                <w:t>https://www.crystallography.net/</w:t>
              </w:r>
            </w:hyperlink>
            <w:r w:rsidRPr="00054587">
              <w:rPr>
                <w:sz w:val="22"/>
                <w:szCs w:val="22"/>
                <w:lang w:val="lt-LT"/>
              </w:rPr>
              <w:t>),</w:t>
            </w:r>
            <w:r w:rsidRPr="00054587">
              <w:rPr>
                <w:sz w:val="22"/>
                <w:szCs w:val="22"/>
              </w:rPr>
              <w:t xml:space="preserve"> the world’s largest collection of open access crystal structure data for small molecules. This data set open excellent opportunity to train various machine learning tools (ANNs, SVMs, Bayesian classifiers) to predict various properties of materials, starting from unit cell volume, melting point, dielectric properties from material structures. In this work, several different machine learning methods should be quantitatively investigated for their suitability for the crystal property prediction tasks. The trained networks should then be used to validate the COD data base and incoming structures to detect possible inaccuracies or errors in data.</w:t>
            </w:r>
          </w:p>
        </w:tc>
        <w:tc>
          <w:tcPr>
            <w:tcW w:w="1842" w:type="dxa"/>
          </w:tcPr>
          <w:p w14:paraId="59611C6C" w14:textId="10CDC719" w:rsidR="00DE6D06" w:rsidRPr="00054587" w:rsidRDefault="00DE6D06" w:rsidP="00DE6D06">
            <w:pPr>
              <w:rPr>
                <w:rFonts w:cstheme="minorHAnsi"/>
                <w:color w:val="000000"/>
                <w:sz w:val="22"/>
                <w:szCs w:val="22"/>
              </w:rPr>
            </w:pPr>
            <w:proofErr w:type="spellStart"/>
            <w:r w:rsidRPr="00054587">
              <w:rPr>
                <w:rFonts w:cstheme="minorHAnsi"/>
                <w:color w:val="000000"/>
                <w:sz w:val="22"/>
                <w:szCs w:val="22"/>
              </w:rPr>
              <w:t>Saulius</w:t>
            </w:r>
            <w:proofErr w:type="spellEnd"/>
            <w:r w:rsidRPr="00054587">
              <w:rPr>
                <w:rFonts w:cstheme="minorHAnsi"/>
                <w:color w:val="000000"/>
                <w:sz w:val="22"/>
                <w:szCs w:val="22"/>
              </w:rPr>
              <w:t xml:space="preserve"> </w:t>
            </w:r>
            <w:proofErr w:type="spellStart"/>
            <w:r w:rsidRPr="00054587">
              <w:rPr>
                <w:rFonts w:cstheme="minorHAnsi"/>
                <w:color w:val="000000"/>
                <w:sz w:val="22"/>
                <w:szCs w:val="22"/>
              </w:rPr>
              <w:t>Gražulis</w:t>
            </w:r>
            <w:proofErr w:type="spellEnd"/>
          </w:p>
        </w:tc>
        <w:tc>
          <w:tcPr>
            <w:tcW w:w="3119" w:type="dxa"/>
          </w:tcPr>
          <w:p w14:paraId="7D8C4B66" w14:textId="570FB31D" w:rsidR="00DE6D06" w:rsidRPr="00054587" w:rsidRDefault="00DE6D06" w:rsidP="00DE6D06">
            <w:pPr>
              <w:rPr>
                <w:rFonts w:cstheme="minorHAnsi"/>
                <w:color w:val="000000"/>
                <w:sz w:val="22"/>
                <w:szCs w:val="22"/>
                <w:lang w:val="en-US"/>
              </w:rPr>
            </w:pPr>
            <w:proofErr w:type="spellStart"/>
            <w:r w:rsidRPr="00054587">
              <w:rPr>
                <w:rFonts w:cstheme="minorHAnsi"/>
                <w:color w:val="000000"/>
                <w:sz w:val="22"/>
                <w:szCs w:val="22"/>
              </w:rPr>
              <w:t>saulius.grazulis</w:t>
            </w:r>
            <w:proofErr w:type="spellEnd"/>
            <w:r w:rsidRPr="00054587">
              <w:rPr>
                <w:rFonts w:cstheme="minorHAnsi"/>
                <w:color w:val="000000"/>
                <w:sz w:val="22"/>
                <w:szCs w:val="22"/>
                <w:lang w:val="en-US"/>
              </w:rPr>
              <w:t>@</w:t>
            </w:r>
            <w:proofErr w:type="spellStart"/>
            <w:r w:rsidRPr="00054587">
              <w:rPr>
                <w:rFonts w:cstheme="minorHAnsi"/>
                <w:color w:val="000000"/>
                <w:sz w:val="22"/>
                <w:szCs w:val="22"/>
                <w:lang w:val="en-US"/>
              </w:rPr>
              <w:t>bti.vu.lt</w:t>
            </w:r>
            <w:proofErr w:type="spellEnd"/>
          </w:p>
        </w:tc>
      </w:tr>
      <w:tr w:rsidR="00054587" w:rsidRPr="00054587" w14:paraId="585E7AA5" w14:textId="77777777" w:rsidTr="00054587">
        <w:tc>
          <w:tcPr>
            <w:tcW w:w="9493" w:type="dxa"/>
          </w:tcPr>
          <w:p w14:paraId="5DD06E6E" w14:textId="11312B2D" w:rsidR="00054587" w:rsidRPr="00054587" w:rsidRDefault="00054587" w:rsidP="00054587">
            <w:pPr>
              <w:rPr>
                <w:b/>
                <w:bCs/>
                <w:sz w:val="22"/>
                <w:szCs w:val="22"/>
              </w:rPr>
            </w:pPr>
            <w:r w:rsidRPr="00054587">
              <w:rPr>
                <w:b/>
                <w:bCs/>
                <w:sz w:val="22"/>
                <w:szCs w:val="22"/>
              </w:rPr>
              <w:t xml:space="preserve">TITLE: </w:t>
            </w:r>
            <w:r w:rsidRPr="00054587">
              <w:rPr>
                <w:b/>
                <w:bCs/>
                <w:sz w:val="22"/>
                <w:szCs w:val="22"/>
              </w:rPr>
              <w:t>Computing chemical structures in P1 cell for the Crystallography Open Database</w:t>
            </w:r>
          </w:p>
          <w:p w14:paraId="14C8D3D1" w14:textId="4444CFAF" w:rsidR="00054587" w:rsidRPr="00054587" w:rsidRDefault="00054587" w:rsidP="00054587">
            <w:pPr>
              <w:rPr>
                <w:b/>
                <w:bCs/>
                <w:sz w:val="22"/>
                <w:szCs w:val="22"/>
              </w:rPr>
            </w:pPr>
            <w:r w:rsidRPr="00054587">
              <w:rPr>
                <w:sz w:val="22"/>
                <w:szCs w:val="22"/>
              </w:rPr>
              <w:t>ABSTRACT</w:t>
            </w:r>
            <w:r w:rsidRPr="00054587">
              <w:rPr>
                <w:sz w:val="22"/>
                <w:szCs w:val="22"/>
              </w:rPr>
              <w:t xml:space="preserve">: In crystallographic structure descriptions, a smallest unique structure fragment – an asymmetric unit – is usually refined and presented; such data set fully describes a crystal structure together with unit cell parameters and crystal symmetry information. The crystallographic description however is not always convenient for </w:t>
            </w:r>
            <w:proofErr w:type="spellStart"/>
            <w:r w:rsidRPr="00054587">
              <w:rPr>
                <w:sz w:val="22"/>
                <w:szCs w:val="22"/>
              </w:rPr>
              <w:t>chemiinformatic</w:t>
            </w:r>
            <w:proofErr w:type="spellEnd"/>
            <w:r w:rsidRPr="00054587">
              <w:rPr>
                <w:sz w:val="22"/>
                <w:szCs w:val="22"/>
              </w:rPr>
              <w:t xml:space="preserve"> investigations, where researchers are concerned with molecules, their connectivity, proximity and geometry. Thus a full molecular description must be always restored from crystallographic description before further chemoinformatic computations can be carried out. Repeating such computations every time is time and energy consuming, can introduce additional errors and makes a barrier of entry into </w:t>
            </w:r>
            <w:proofErr w:type="spellStart"/>
            <w:r w:rsidRPr="00054587">
              <w:rPr>
                <w:sz w:val="22"/>
                <w:szCs w:val="22"/>
              </w:rPr>
              <w:t>chemiinformatics</w:t>
            </w:r>
            <w:proofErr w:type="spellEnd"/>
            <w:r w:rsidRPr="00054587">
              <w:rPr>
                <w:sz w:val="22"/>
                <w:szCs w:val="22"/>
              </w:rPr>
              <w:t xml:space="preserve"> research higher for chemists who were not trained in crystallographic computations. In this work we propose to compute a database of full molecule descriptions together with data provenance from the Crystallography Open Database (COD, </w:t>
            </w:r>
            <w:hyperlink r:id="rId5">
              <w:r w:rsidRPr="00054587">
                <w:rPr>
                  <w:rStyle w:val="InternetLink"/>
                  <w:sz w:val="22"/>
                  <w:szCs w:val="22"/>
                </w:rPr>
                <w:t>https://www.crystallography.net/</w:t>
              </w:r>
            </w:hyperlink>
            <w:r w:rsidRPr="00054587">
              <w:rPr>
                <w:sz w:val="22"/>
                <w:szCs w:val="22"/>
              </w:rPr>
              <w:t>), and build a novel open database of chemical structures using models of P1 crystal cells. In this database, investigation of optical isomers (their frequency of occurrence, presence in co-crystal, conformational variability) should be then carried out.</w:t>
            </w:r>
          </w:p>
        </w:tc>
        <w:tc>
          <w:tcPr>
            <w:tcW w:w="1842" w:type="dxa"/>
          </w:tcPr>
          <w:p w14:paraId="7772A9C7" w14:textId="7D1EF11E" w:rsidR="00054587" w:rsidRPr="00054587" w:rsidRDefault="00054587" w:rsidP="00054587">
            <w:pPr>
              <w:rPr>
                <w:rFonts w:cstheme="minorHAnsi"/>
                <w:color w:val="000000"/>
                <w:sz w:val="22"/>
                <w:szCs w:val="22"/>
              </w:rPr>
            </w:pPr>
            <w:proofErr w:type="spellStart"/>
            <w:r w:rsidRPr="00054587">
              <w:rPr>
                <w:rFonts w:cstheme="minorHAnsi"/>
                <w:color w:val="000000"/>
                <w:sz w:val="22"/>
                <w:szCs w:val="22"/>
              </w:rPr>
              <w:t>Saulius</w:t>
            </w:r>
            <w:proofErr w:type="spellEnd"/>
            <w:r w:rsidRPr="00054587">
              <w:rPr>
                <w:rFonts w:cstheme="minorHAnsi"/>
                <w:color w:val="000000"/>
                <w:sz w:val="22"/>
                <w:szCs w:val="22"/>
              </w:rPr>
              <w:t xml:space="preserve"> </w:t>
            </w:r>
            <w:proofErr w:type="spellStart"/>
            <w:r w:rsidRPr="00054587">
              <w:rPr>
                <w:rFonts w:cstheme="minorHAnsi"/>
                <w:color w:val="000000"/>
                <w:sz w:val="22"/>
                <w:szCs w:val="22"/>
              </w:rPr>
              <w:t>Gražulis</w:t>
            </w:r>
            <w:proofErr w:type="spellEnd"/>
          </w:p>
        </w:tc>
        <w:tc>
          <w:tcPr>
            <w:tcW w:w="3119" w:type="dxa"/>
          </w:tcPr>
          <w:p w14:paraId="04E8219F" w14:textId="6D55D500" w:rsidR="00054587" w:rsidRPr="00054587" w:rsidRDefault="00054587" w:rsidP="00054587">
            <w:pPr>
              <w:rPr>
                <w:rFonts w:cstheme="minorHAnsi"/>
                <w:color w:val="000000"/>
                <w:sz w:val="22"/>
                <w:szCs w:val="22"/>
              </w:rPr>
            </w:pPr>
            <w:proofErr w:type="spellStart"/>
            <w:r w:rsidRPr="00054587">
              <w:rPr>
                <w:rFonts w:cstheme="minorHAnsi"/>
                <w:color w:val="000000"/>
                <w:sz w:val="22"/>
                <w:szCs w:val="22"/>
              </w:rPr>
              <w:t>saulius.grazulis</w:t>
            </w:r>
            <w:proofErr w:type="spellEnd"/>
            <w:r w:rsidRPr="00054587">
              <w:rPr>
                <w:rFonts w:cstheme="minorHAnsi"/>
                <w:color w:val="000000"/>
                <w:sz w:val="22"/>
                <w:szCs w:val="22"/>
                <w:lang w:val="en-US"/>
              </w:rPr>
              <w:t>@</w:t>
            </w:r>
            <w:proofErr w:type="spellStart"/>
            <w:r w:rsidRPr="00054587">
              <w:rPr>
                <w:rFonts w:cstheme="minorHAnsi"/>
                <w:color w:val="000000"/>
                <w:sz w:val="22"/>
                <w:szCs w:val="22"/>
                <w:lang w:val="en-US"/>
              </w:rPr>
              <w:t>bti.vu.lt</w:t>
            </w:r>
            <w:proofErr w:type="spellEnd"/>
          </w:p>
        </w:tc>
      </w:tr>
    </w:tbl>
    <w:p w14:paraId="55E536D6" w14:textId="77777777" w:rsidR="008C030E" w:rsidRDefault="0002268C"/>
    <w:sectPr w:rsidR="008C030E" w:rsidSect="007809C3">
      <w:pgSz w:w="16840" w:h="11900" w:orient="landscape"/>
      <w:pgMar w:top="628" w:right="6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
    <w:altName w:val="Calibri"/>
    <w:panose1 w:val="020B0604020202020204"/>
    <w:charset w:val="00"/>
    <w:family w:val="auto"/>
    <w:pitch w:val="variable"/>
  </w:font>
  <w:font w:name="CIDFont+F1">
    <w:altName w:val="MS Mincho"/>
    <w:panose1 w:val="020B0604020202020204"/>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E8"/>
    <w:rsid w:val="0002268C"/>
    <w:rsid w:val="00054587"/>
    <w:rsid w:val="000F1D4D"/>
    <w:rsid w:val="00145848"/>
    <w:rsid w:val="00256900"/>
    <w:rsid w:val="00326B69"/>
    <w:rsid w:val="004151AE"/>
    <w:rsid w:val="00451D07"/>
    <w:rsid w:val="00474456"/>
    <w:rsid w:val="004F039C"/>
    <w:rsid w:val="005264DE"/>
    <w:rsid w:val="00571F46"/>
    <w:rsid w:val="006D34E8"/>
    <w:rsid w:val="007809C3"/>
    <w:rsid w:val="008A2322"/>
    <w:rsid w:val="00982099"/>
    <w:rsid w:val="00A97678"/>
    <w:rsid w:val="00AE5008"/>
    <w:rsid w:val="00B349BD"/>
    <w:rsid w:val="00B52C6E"/>
    <w:rsid w:val="00B82BE1"/>
    <w:rsid w:val="00BC0C92"/>
    <w:rsid w:val="00C41C0D"/>
    <w:rsid w:val="00DE6D06"/>
    <w:rsid w:val="00E3512E"/>
    <w:rsid w:val="00ED5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BF4B"/>
  <w14:defaultImageDpi w14:val="32767"/>
  <w15:chartTrackingRefBased/>
  <w15:docId w15:val="{1EA4F37A-9BB0-BA46-8AB6-3D0AEAAD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51D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848"/>
    <w:pPr>
      <w:spacing w:before="100" w:beforeAutospacing="1" w:after="100" w:afterAutospacing="1"/>
    </w:pPr>
    <w:rPr>
      <w:rFonts w:ascii="Times New Roman" w:eastAsia="Times New Roman" w:hAnsi="Times New Roman" w:cs="Times New Roman"/>
      <w:lang w:val="en-US"/>
    </w:rPr>
  </w:style>
  <w:style w:type="character" w:customStyle="1" w:styleId="apple-converted-space">
    <w:name w:val="apple-converted-space"/>
    <w:basedOn w:val="DefaultParagraphFont"/>
    <w:rsid w:val="00145848"/>
  </w:style>
  <w:style w:type="character" w:customStyle="1" w:styleId="Heading2Char">
    <w:name w:val="Heading 2 Char"/>
    <w:basedOn w:val="DefaultParagraphFont"/>
    <w:link w:val="Heading2"/>
    <w:uiPriority w:val="9"/>
    <w:rsid w:val="00451D07"/>
    <w:rPr>
      <w:rFonts w:asciiTheme="majorHAnsi" w:eastAsiaTheme="majorEastAsia" w:hAnsiTheme="majorHAnsi" w:cstheme="majorBidi"/>
      <w:color w:val="2F5496" w:themeColor="accent1" w:themeShade="BF"/>
      <w:sz w:val="26"/>
      <w:szCs w:val="26"/>
    </w:rPr>
  </w:style>
  <w:style w:type="paragraph" w:customStyle="1" w:styleId="Standard">
    <w:name w:val="Standard"/>
    <w:rsid w:val="00E3512E"/>
    <w:pPr>
      <w:suppressAutoHyphens/>
      <w:autoSpaceDN w:val="0"/>
      <w:textAlignment w:val="baseline"/>
    </w:pPr>
    <w:rPr>
      <w:rFonts w:ascii="Calibri" w:eastAsia="Calibri" w:hAnsi="Calibri" w:cs="F"/>
    </w:rPr>
  </w:style>
  <w:style w:type="character" w:customStyle="1" w:styleId="InternetLink">
    <w:name w:val="Internet Link"/>
    <w:rsid w:val="00DE6D06"/>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50423">
      <w:bodyDiv w:val="1"/>
      <w:marLeft w:val="0"/>
      <w:marRight w:val="0"/>
      <w:marTop w:val="0"/>
      <w:marBottom w:val="0"/>
      <w:divBdr>
        <w:top w:val="none" w:sz="0" w:space="0" w:color="auto"/>
        <w:left w:val="none" w:sz="0" w:space="0" w:color="auto"/>
        <w:bottom w:val="none" w:sz="0" w:space="0" w:color="auto"/>
        <w:right w:val="none" w:sz="0" w:space="0" w:color="auto"/>
      </w:divBdr>
      <w:divsChild>
        <w:div w:id="1618367715">
          <w:marLeft w:val="0"/>
          <w:marRight w:val="0"/>
          <w:marTop w:val="0"/>
          <w:marBottom w:val="0"/>
          <w:divBdr>
            <w:top w:val="none" w:sz="0" w:space="0" w:color="auto"/>
            <w:left w:val="none" w:sz="0" w:space="0" w:color="auto"/>
            <w:bottom w:val="none" w:sz="0" w:space="0" w:color="auto"/>
            <w:right w:val="none" w:sz="0" w:space="0" w:color="auto"/>
          </w:divBdr>
        </w:div>
        <w:div w:id="616908581">
          <w:marLeft w:val="0"/>
          <w:marRight w:val="0"/>
          <w:marTop w:val="0"/>
          <w:marBottom w:val="0"/>
          <w:divBdr>
            <w:top w:val="none" w:sz="0" w:space="0" w:color="auto"/>
            <w:left w:val="none" w:sz="0" w:space="0" w:color="auto"/>
            <w:bottom w:val="none" w:sz="0" w:space="0" w:color="auto"/>
            <w:right w:val="none" w:sz="0" w:space="0" w:color="auto"/>
          </w:divBdr>
        </w:div>
        <w:div w:id="1733385046">
          <w:marLeft w:val="0"/>
          <w:marRight w:val="0"/>
          <w:marTop w:val="0"/>
          <w:marBottom w:val="0"/>
          <w:divBdr>
            <w:top w:val="none" w:sz="0" w:space="0" w:color="auto"/>
            <w:left w:val="none" w:sz="0" w:space="0" w:color="auto"/>
            <w:bottom w:val="none" w:sz="0" w:space="0" w:color="auto"/>
            <w:right w:val="none" w:sz="0" w:space="0" w:color="auto"/>
          </w:divBdr>
        </w:div>
      </w:divsChild>
    </w:div>
    <w:div w:id="1419251938">
      <w:bodyDiv w:val="1"/>
      <w:marLeft w:val="0"/>
      <w:marRight w:val="0"/>
      <w:marTop w:val="0"/>
      <w:marBottom w:val="0"/>
      <w:divBdr>
        <w:top w:val="none" w:sz="0" w:space="0" w:color="auto"/>
        <w:left w:val="none" w:sz="0" w:space="0" w:color="auto"/>
        <w:bottom w:val="none" w:sz="0" w:space="0" w:color="auto"/>
        <w:right w:val="none" w:sz="0" w:space="0" w:color="auto"/>
      </w:divBdr>
    </w:div>
    <w:div w:id="1797210467">
      <w:bodyDiv w:val="1"/>
      <w:marLeft w:val="0"/>
      <w:marRight w:val="0"/>
      <w:marTop w:val="0"/>
      <w:marBottom w:val="0"/>
      <w:divBdr>
        <w:top w:val="none" w:sz="0" w:space="0" w:color="auto"/>
        <w:left w:val="none" w:sz="0" w:space="0" w:color="auto"/>
        <w:bottom w:val="none" w:sz="0" w:space="0" w:color="auto"/>
        <w:right w:val="none" w:sz="0" w:space="0" w:color="auto"/>
      </w:divBdr>
    </w:div>
    <w:div w:id="1856117175">
      <w:bodyDiv w:val="1"/>
      <w:marLeft w:val="0"/>
      <w:marRight w:val="0"/>
      <w:marTop w:val="0"/>
      <w:marBottom w:val="0"/>
      <w:divBdr>
        <w:top w:val="none" w:sz="0" w:space="0" w:color="auto"/>
        <w:left w:val="none" w:sz="0" w:space="0" w:color="auto"/>
        <w:bottom w:val="none" w:sz="0" w:space="0" w:color="auto"/>
        <w:right w:val="none" w:sz="0" w:space="0" w:color="auto"/>
      </w:divBdr>
    </w:div>
    <w:div w:id="20982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ystallography.net/" TargetMode="External"/><Relationship Id="rId4" Type="http://schemas.openxmlformats.org/officeDocument/2006/relationships/hyperlink" Target="https://www.crystallograph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Audrone</cp:lastModifiedBy>
  <cp:revision>9</cp:revision>
  <dcterms:created xsi:type="dcterms:W3CDTF">2020-09-29T15:36:00Z</dcterms:created>
  <dcterms:modified xsi:type="dcterms:W3CDTF">2020-10-16T13:11:00Z</dcterms:modified>
</cp:coreProperties>
</file>